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 w:type="dxa"/>
        <w:tblLayout w:type="fixed"/>
        <w:tblCellMar>
          <w:left w:w="0" w:type="dxa"/>
          <w:right w:w="0" w:type="dxa"/>
        </w:tblCellMar>
        <w:tblLook w:val="0000" w:firstRow="0" w:lastRow="0" w:firstColumn="0" w:lastColumn="0" w:noHBand="0" w:noVBand="0"/>
      </w:tblPr>
      <w:tblGrid>
        <w:gridCol w:w="7258"/>
      </w:tblGrid>
      <w:tr w:rsidR="00982A0A" w14:paraId="3B09C5F4" w14:textId="77777777">
        <w:trPr>
          <w:cantSplit/>
          <w:trHeight w:val="2552"/>
        </w:trPr>
        <w:tc>
          <w:tcPr>
            <w:tcW w:w="7258" w:type="dxa"/>
          </w:tcPr>
          <w:p w14:paraId="56133CA1" w14:textId="77777777" w:rsidR="00982A0A" w:rsidRDefault="00982A0A">
            <w:pPr>
              <w:pStyle w:val="BodyText"/>
            </w:pPr>
            <w:bookmarkStart w:id="0" w:name="PCAmodtager"/>
            <w:bookmarkEnd w:id="0"/>
          </w:p>
        </w:tc>
      </w:tr>
    </w:tbl>
    <w:p w14:paraId="00FBF6D7" w14:textId="23965830" w:rsidR="00982A0A" w:rsidRPr="00F5359B" w:rsidRDefault="00F5359B">
      <w:pPr>
        <w:pStyle w:val="Heading1"/>
        <w:rPr>
          <w:lang w:val="en-US"/>
        </w:rPr>
      </w:pPr>
      <w:bookmarkStart w:id="1" w:name="PCAoverskrift"/>
      <w:bookmarkEnd w:id="1"/>
      <w:r w:rsidRPr="00F5359B">
        <w:rPr>
          <w:lang w:val="en-GB"/>
        </w:rPr>
        <w:t xml:space="preserve">Guidelines on the </w:t>
      </w:r>
      <w:r w:rsidR="00757CA7">
        <w:rPr>
          <w:lang w:val="en-GB"/>
        </w:rPr>
        <w:t xml:space="preserve">first-level </w:t>
      </w:r>
      <w:r w:rsidRPr="00F5359B">
        <w:rPr>
          <w:lang w:val="en-GB"/>
        </w:rPr>
        <w:t>control of European Territorial Cooperation projects implemented by Danish beneficiaries</w:t>
      </w:r>
    </w:p>
    <w:p w14:paraId="3B526916" w14:textId="77777777" w:rsidR="00F5359B" w:rsidRPr="00757CA7" w:rsidRDefault="00F5359B" w:rsidP="00F5359B">
      <w:pPr>
        <w:pStyle w:val="Default"/>
        <w:rPr>
          <w:lang w:val="en-US"/>
        </w:rPr>
      </w:pPr>
      <w:bookmarkStart w:id="2" w:name="PCAstart"/>
      <w:bookmarkEnd w:id="2"/>
    </w:p>
    <w:p w14:paraId="0C65F55A" w14:textId="69AFF207" w:rsidR="00F5359B" w:rsidRDefault="00C97E26" w:rsidP="00F5359B">
      <w:pPr>
        <w:pStyle w:val="Default"/>
        <w:rPr>
          <w:lang w:val="en-US"/>
        </w:rPr>
      </w:pPr>
      <w:r w:rsidRPr="00F5359B">
        <w:rPr>
          <w:sz w:val="22"/>
          <w:szCs w:val="22"/>
          <w:lang w:val="en-US"/>
        </w:rPr>
        <w:t xml:space="preserve">These guidelines are addressed to Danish beneficiaries participating in a project under </w:t>
      </w:r>
      <w:r w:rsidRPr="00DE4D32">
        <w:rPr>
          <w:color w:val="auto"/>
          <w:sz w:val="22"/>
          <w:szCs w:val="22"/>
          <w:lang w:val="en-US"/>
        </w:rPr>
        <w:t xml:space="preserve">the European </w:t>
      </w:r>
      <w:r>
        <w:rPr>
          <w:color w:val="auto"/>
          <w:sz w:val="22"/>
          <w:szCs w:val="22"/>
          <w:lang w:val="en-US"/>
        </w:rPr>
        <w:t>T</w:t>
      </w:r>
      <w:r w:rsidRPr="00DE4D32">
        <w:rPr>
          <w:color w:val="auto"/>
          <w:sz w:val="22"/>
          <w:szCs w:val="22"/>
          <w:lang w:val="en-US"/>
        </w:rPr>
        <w:t xml:space="preserve">erritorial </w:t>
      </w:r>
      <w:r>
        <w:rPr>
          <w:color w:val="auto"/>
          <w:sz w:val="22"/>
          <w:szCs w:val="22"/>
          <w:lang w:val="en-US"/>
        </w:rPr>
        <w:t>C</w:t>
      </w:r>
      <w:r w:rsidRPr="00DE4D32">
        <w:rPr>
          <w:color w:val="auto"/>
          <w:sz w:val="22"/>
          <w:szCs w:val="22"/>
          <w:lang w:val="en-US"/>
        </w:rPr>
        <w:t>ooperation</w:t>
      </w:r>
      <w:r>
        <w:rPr>
          <w:color w:val="auto"/>
          <w:sz w:val="22"/>
          <w:szCs w:val="22"/>
          <w:lang w:val="en-US"/>
        </w:rPr>
        <w:t xml:space="preserve"> (ETC)</w:t>
      </w:r>
      <w:r w:rsidRPr="00DE4D32">
        <w:rPr>
          <w:color w:val="auto"/>
          <w:sz w:val="22"/>
          <w:szCs w:val="22"/>
          <w:lang w:val="en-US"/>
        </w:rPr>
        <w:t xml:space="preserve"> programmes 2021</w:t>
      </w:r>
      <w:r w:rsidRPr="00F5359B">
        <w:rPr>
          <w:sz w:val="22"/>
          <w:szCs w:val="22"/>
          <w:lang w:val="en-US"/>
        </w:rPr>
        <w:t>-202</w:t>
      </w:r>
      <w:r>
        <w:rPr>
          <w:sz w:val="22"/>
          <w:szCs w:val="22"/>
          <w:lang w:val="en-US"/>
        </w:rPr>
        <w:t>7</w:t>
      </w:r>
      <w:r w:rsidRPr="00F5359B">
        <w:rPr>
          <w:sz w:val="22"/>
          <w:szCs w:val="22"/>
          <w:lang w:val="en-US"/>
        </w:rPr>
        <w:t xml:space="preserve"> and to </w:t>
      </w:r>
      <w:r>
        <w:rPr>
          <w:sz w:val="22"/>
          <w:szCs w:val="22"/>
          <w:lang w:val="en-US"/>
        </w:rPr>
        <w:t>controllers</w:t>
      </w:r>
      <w:r w:rsidRPr="00F5359B">
        <w:rPr>
          <w:sz w:val="22"/>
          <w:szCs w:val="22"/>
          <w:lang w:val="en-US"/>
        </w:rPr>
        <w:t xml:space="preserve"> </w:t>
      </w:r>
      <w:r>
        <w:rPr>
          <w:sz w:val="22"/>
          <w:szCs w:val="22"/>
          <w:lang w:val="en-US"/>
        </w:rPr>
        <w:t xml:space="preserve">designated </w:t>
      </w:r>
      <w:r w:rsidRPr="00D555C6">
        <w:rPr>
          <w:color w:val="auto"/>
          <w:sz w:val="22"/>
          <w:szCs w:val="22"/>
          <w:lang w:val="en-US"/>
        </w:rPr>
        <w:t>in accordance with article 46(3) of regulation (EU) 2021/1059 of the European Parliament and of the Council of 24 June 2021 on specific provisions for the European territorial cooperation goal (Interreg) supported by the European Regional Development Fund and external financing instruments (‘Interreg Regulation’)</w:t>
      </w:r>
      <w:r>
        <w:rPr>
          <w:lang w:val="en-US"/>
        </w:rPr>
        <w:t>.</w:t>
      </w:r>
    </w:p>
    <w:p w14:paraId="3373391D" w14:textId="77777777" w:rsidR="00C97E26" w:rsidRPr="00F5359B" w:rsidRDefault="00C97E26" w:rsidP="00F5359B">
      <w:pPr>
        <w:pStyle w:val="Default"/>
        <w:rPr>
          <w:sz w:val="22"/>
          <w:szCs w:val="22"/>
          <w:lang w:val="en-US"/>
        </w:rPr>
      </w:pPr>
    </w:p>
    <w:p w14:paraId="09B3240E" w14:textId="37F215C1" w:rsidR="00F5359B" w:rsidRPr="006455D3" w:rsidRDefault="00F5359B" w:rsidP="00F5359B">
      <w:pPr>
        <w:pStyle w:val="Default"/>
        <w:rPr>
          <w:sz w:val="22"/>
          <w:szCs w:val="22"/>
          <w:lang w:val="en-US"/>
        </w:rPr>
      </w:pPr>
      <w:r w:rsidRPr="00F5359B">
        <w:rPr>
          <w:sz w:val="22"/>
          <w:szCs w:val="22"/>
          <w:lang w:val="en-US"/>
        </w:rPr>
        <w:t>Th</w:t>
      </w:r>
      <w:r w:rsidR="005020FD">
        <w:rPr>
          <w:sz w:val="22"/>
          <w:szCs w:val="22"/>
          <w:lang w:val="en-US"/>
        </w:rPr>
        <w:t xml:space="preserve">ese particular guidelines are </w:t>
      </w:r>
      <w:r w:rsidR="001B4CD7">
        <w:rPr>
          <w:sz w:val="22"/>
          <w:szCs w:val="22"/>
          <w:lang w:val="en-US"/>
        </w:rPr>
        <w:t xml:space="preserve">specifically addressed to </w:t>
      </w:r>
      <w:r w:rsidRPr="00F5359B">
        <w:rPr>
          <w:sz w:val="22"/>
          <w:szCs w:val="22"/>
          <w:lang w:val="en-US"/>
        </w:rPr>
        <w:t xml:space="preserve">Danish beneficiaries </w:t>
      </w:r>
      <w:r w:rsidR="001B4CD7">
        <w:rPr>
          <w:sz w:val="22"/>
          <w:szCs w:val="22"/>
          <w:lang w:val="en-US"/>
        </w:rPr>
        <w:t xml:space="preserve">and </w:t>
      </w:r>
      <w:r w:rsidR="009B3C53">
        <w:rPr>
          <w:sz w:val="22"/>
          <w:szCs w:val="22"/>
          <w:lang w:val="en-US"/>
        </w:rPr>
        <w:t>controllers</w:t>
      </w:r>
      <w:r w:rsidR="001B4CD7">
        <w:rPr>
          <w:sz w:val="22"/>
          <w:szCs w:val="22"/>
          <w:lang w:val="en-US"/>
        </w:rPr>
        <w:t xml:space="preserve"> </w:t>
      </w:r>
      <w:r w:rsidRPr="00F5359B">
        <w:rPr>
          <w:sz w:val="22"/>
          <w:szCs w:val="22"/>
          <w:lang w:val="en-US"/>
        </w:rPr>
        <w:t>under</w:t>
      </w:r>
      <w:r w:rsidR="009B3C53">
        <w:rPr>
          <w:sz w:val="22"/>
          <w:szCs w:val="22"/>
          <w:lang w:val="en-US"/>
        </w:rPr>
        <w:t xml:space="preserve"> </w:t>
      </w:r>
      <w:r w:rsidR="007206F7" w:rsidRPr="00652A5F">
        <w:rPr>
          <w:b/>
          <w:sz w:val="22"/>
          <w:szCs w:val="22"/>
          <w:lang w:val="en-US"/>
        </w:rPr>
        <w:t xml:space="preserve">Interreg </w:t>
      </w:r>
      <w:r w:rsidR="00652A5F">
        <w:rPr>
          <w:b/>
          <w:sz w:val="22"/>
          <w:szCs w:val="22"/>
          <w:lang w:val="en-US"/>
        </w:rPr>
        <w:t>Europe</w:t>
      </w:r>
      <w:r w:rsidRPr="00652A5F">
        <w:rPr>
          <w:b/>
          <w:sz w:val="22"/>
          <w:szCs w:val="22"/>
          <w:lang w:val="en-US"/>
        </w:rPr>
        <w:t xml:space="preserve"> 20</w:t>
      </w:r>
      <w:r w:rsidR="009B3C53" w:rsidRPr="00652A5F">
        <w:rPr>
          <w:b/>
          <w:sz w:val="22"/>
          <w:szCs w:val="22"/>
          <w:lang w:val="en-US"/>
        </w:rPr>
        <w:t>21</w:t>
      </w:r>
      <w:r w:rsidRPr="00652A5F">
        <w:rPr>
          <w:b/>
          <w:sz w:val="22"/>
          <w:szCs w:val="22"/>
          <w:lang w:val="en-US"/>
        </w:rPr>
        <w:t>-202</w:t>
      </w:r>
      <w:r w:rsidR="009B3C53" w:rsidRPr="00652A5F">
        <w:rPr>
          <w:b/>
          <w:sz w:val="22"/>
          <w:szCs w:val="22"/>
          <w:lang w:val="en-US"/>
        </w:rPr>
        <w:t>7</w:t>
      </w:r>
      <w:r w:rsidR="009B3C53">
        <w:rPr>
          <w:b/>
          <w:sz w:val="22"/>
          <w:szCs w:val="22"/>
          <w:lang w:val="en-US"/>
        </w:rPr>
        <w:t>.</w:t>
      </w:r>
      <w:r w:rsidRPr="00F5359B">
        <w:rPr>
          <w:b/>
          <w:bCs/>
          <w:sz w:val="22"/>
          <w:szCs w:val="22"/>
          <w:lang w:val="en-US"/>
        </w:rPr>
        <w:t xml:space="preserve"> </w:t>
      </w:r>
      <w:r w:rsidR="006455D3">
        <w:rPr>
          <w:sz w:val="22"/>
          <w:szCs w:val="22"/>
          <w:lang w:val="en-US"/>
        </w:rPr>
        <w:t>If you wish to find further details regarding the obligations of the controller under other ETC-programmes</w:t>
      </w:r>
      <w:r w:rsidR="00F81469">
        <w:rPr>
          <w:sz w:val="22"/>
          <w:szCs w:val="22"/>
          <w:lang w:val="en-US"/>
        </w:rPr>
        <w:t>, please consult the relevant guidelines.</w:t>
      </w:r>
    </w:p>
    <w:p w14:paraId="24C78999" w14:textId="77777777" w:rsidR="00F5359B" w:rsidRPr="00F5359B" w:rsidRDefault="00F5359B" w:rsidP="00F5359B">
      <w:pPr>
        <w:pStyle w:val="Default"/>
        <w:rPr>
          <w:sz w:val="22"/>
          <w:szCs w:val="22"/>
          <w:lang w:val="en-US"/>
        </w:rPr>
      </w:pPr>
    </w:p>
    <w:p w14:paraId="298235F1" w14:textId="77777777" w:rsidR="00F5359B" w:rsidRDefault="00F5359B" w:rsidP="00F5359B">
      <w:pPr>
        <w:pStyle w:val="Default"/>
        <w:rPr>
          <w:sz w:val="22"/>
          <w:szCs w:val="22"/>
          <w:lang w:val="en-US"/>
        </w:rPr>
      </w:pPr>
      <w:r w:rsidRPr="00F5359B">
        <w:rPr>
          <w:sz w:val="22"/>
          <w:szCs w:val="22"/>
          <w:lang w:val="en-US"/>
        </w:rPr>
        <w:t xml:space="preserve">In Denmark the </w:t>
      </w:r>
      <w:r w:rsidRPr="00F5359B">
        <w:rPr>
          <w:b/>
          <w:bCs/>
          <w:sz w:val="22"/>
          <w:szCs w:val="22"/>
          <w:lang w:val="en-US"/>
        </w:rPr>
        <w:t xml:space="preserve">national legal basis for the designation </w:t>
      </w:r>
      <w:r w:rsidRPr="00F5359B">
        <w:rPr>
          <w:sz w:val="22"/>
          <w:szCs w:val="22"/>
          <w:lang w:val="en-US"/>
        </w:rPr>
        <w:t>of the controller is:</w:t>
      </w:r>
    </w:p>
    <w:p w14:paraId="38176D70" w14:textId="77777777" w:rsidR="005B6554" w:rsidRDefault="005B6554" w:rsidP="00F5359B">
      <w:pPr>
        <w:pStyle w:val="Default"/>
        <w:rPr>
          <w:sz w:val="22"/>
          <w:szCs w:val="22"/>
          <w:lang w:val="en-US"/>
        </w:rPr>
      </w:pPr>
    </w:p>
    <w:p w14:paraId="5406736B" w14:textId="7B63B083" w:rsidR="005B6554" w:rsidRPr="00951C5A" w:rsidRDefault="00F5359B" w:rsidP="005B6554">
      <w:pPr>
        <w:pStyle w:val="Default"/>
        <w:numPr>
          <w:ilvl w:val="0"/>
          <w:numId w:val="8"/>
        </w:numPr>
        <w:rPr>
          <w:sz w:val="22"/>
          <w:szCs w:val="22"/>
          <w:lang w:val="en-US"/>
        </w:rPr>
      </w:pPr>
      <w:r w:rsidRPr="00F5359B">
        <w:rPr>
          <w:sz w:val="22"/>
          <w:szCs w:val="22"/>
          <w:lang w:val="en-US"/>
        </w:rPr>
        <w:t xml:space="preserve"> </w:t>
      </w:r>
      <w:r w:rsidR="005B6554">
        <w:rPr>
          <w:sz w:val="22"/>
          <w:szCs w:val="22"/>
          <w:lang w:val="en-US"/>
        </w:rPr>
        <w:t xml:space="preserve">Act no. 160 </w:t>
      </w:r>
      <w:r w:rsidR="005B6554" w:rsidRPr="00294DFD">
        <w:rPr>
          <w:sz w:val="22"/>
          <w:szCs w:val="22"/>
          <w:lang w:val="en-US"/>
        </w:rPr>
        <w:t xml:space="preserve">of 7 February 2019 </w:t>
      </w:r>
      <w:r w:rsidR="005B6554">
        <w:rPr>
          <w:sz w:val="22"/>
          <w:szCs w:val="22"/>
          <w:lang w:val="en-US"/>
        </w:rPr>
        <w:t xml:space="preserve">on the </w:t>
      </w:r>
      <w:r w:rsidR="005B6554" w:rsidRPr="00294DFD">
        <w:rPr>
          <w:sz w:val="22"/>
          <w:szCs w:val="22"/>
          <w:lang w:val="en-US"/>
        </w:rPr>
        <w:t>Administration of Grants from the European Regional Development Fund, the European Social Fund Plus and the Just Transition Fund</w:t>
      </w:r>
      <w:r w:rsidR="005B6554">
        <w:rPr>
          <w:sz w:val="22"/>
          <w:szCs w:val="22"/>
          <w:lang w:val="en-US"/>
        </w:rPr>
        <w:t xml:space="preserve">, </w:t>
      </w:r>
      <w:r w:rsidR="005B6554" w:rsidRPr="00294DFD">
        <w:rPr>
          <w:sz w:val="22"/>
          <w:szCs w:val="22"/>
          <w:lang w:val="en-US"/>
        </w:rPr>
        <w:t>including amendment of 14 December 2021 and any future amendments, namely chapter 4.</w:t>
      </w:r>
      <w:r w:rsidR="005B6554">
        <w:rPr>
          <w:sz w:val="22"/>
          <w:szCs w:val="22"/>
          <w:lang w:val="en-US"/>
        </w:rPr>
        <w:br/>
      </w:r>
      <w:r w:rsidR="005B6554">
        <w:rPr>
          <w:sz w:val="22"/>
          <w:szCs w:val="22"/>
          <w:lang w:val="en-US"/>
        </w:rPr>
        <w:br/>
        <w:t xml:space="preserve">A version of the Act in </w:t>
      </w:r>
      <w:r w:rsidR="00652A5F">
        <w:rPr>
          <w:sz w:val="22"/>
          <w:szCs w:val="22"/>
          <w:lang w:val="en-US"/>
        </w:rPr>
        <w:t>D</w:t>
      </w:r>
      <w:r w:rsidR="005B6554">
        <w:rPr>
          <w:sz w:val="22"/>
          <w:szCs w:val="22"/>
          <w:lang w:val="en-US"/>
        </w:rPr>
        <w:t xml:space="preserve">anish may be found at </w:t>
      </w:r>
      <w:hyperlink r:id="rId11" w:history="1">
        <w:r w:rsidR="005B6554" w:rsidRPr="006901EF">
          <w:rPr>
            <w:rStyle w:val="Hyperlink"/>
            <w:sz w:val="22"/>
            <w:szCs w:val="22"/>
            <w:lang w:val="en-US"/>
          </w:rPr>
          <w:t>https://www.retsinformation.dk/Forms/R0710.aspx?id=206890</w:t>
        </w:r>
      </w:hyperlink>
      <w:r w:rsidR="005B6554">
        <w:rPr>
          <w:sz w:val="22"/>
          <w:szCs w:val="22"/>
          <w:lang w:val="en-US"/>
        </w:rPr>
        <w:t xml:space="preserve"> and the amendment at</w:t>
      </w:r>
      <w:r w:rsidR="005B6554" w:rsidRPr="00951C5A">
        <w:rPr>
          <w:lang w:val="en-US"/>
        </w:rPr>
        <w:t xml:space="preserve"> </w:t>
      </w:r>
      <w:hyperlink r:id="rId12" w:history="1">
        <w:r w:rsidR="005B6554" w:rsidRPr="006901EF">
          <w:rPr>
            <w:rStyle w:val="Hyperlink"/>
            <w:sz w:val="22"/>
            <w:szCs w:val="22"/>
            <w:lang w:val="en-US"/>
          </w:rPr>
          <w:t>https://www.retsinformation.dk/eli/lta/2021/2381</w:t>
        </w:r>
      </w:hyperlink>
      <w:r w:rsidR="005B6554">
        <w:rPr>
          <w:sz w:val="22"/>
          <w:szCs w:val="22"/>
          <w:lang w:val="en-US"/>
        </w:rPr>
        <w:t>.</w:t>
      </w:r>
    </w:p>
    <w:p w14:paraId="1686C0CA" w14:textId="77777777" w:rsidR="005B6554" w:rsidRDefault="005B6554" w:rsidP="005B6554">
      <w:pPr>
        <w:pStyle w:val="Default"/>
        <w:ind w:left="720"/>
        <w:rPr>
          <w:sz w:val="22"/>
          <w:szCs w:val="22"/>
          <w:lang w:val="en-US"/>
        </w:rPr>
      </w:pPr>
      <w:r w:rsidRPr="00B62FFC">
        <w:rPr>
          <w:sz w:val="22"/>
          <w:szCs w:val="22"/>
          <w:lang w:val="en-US"/>
        </w:rPr>
        <w:t xml:space="preserve"> </w:t>
      </w:r>
    </w:p>
    <w:p w14:paraId="4A9ED4F5" w14:textId="169CDBE1" w:rsidR="005B6554" w:rsidRPr="00F54541" w:rsidRDefault="005B6554" w:rsidP="005B6554">
      <w:pPr>
        <w:pStyle w:val="Default"/>
        <w:numPr>
          <w:ilvl w:val="0"/>
          <w:numId w:val="8"/>
        </w:numPr>
        <w:spacing w:after="328"/>
        <w:rPr>
          <w:sz w:val="22"/>
          <w:szCs w:val="22"/>
          <w:lang w:val="en-US"/>
        </w:rPr>
      </w:pPr>
      <w:r>
        <w:rPr>
          <w:color w:val="auto"/>
          <w:sz w:val="22"/>
          <w:szCs w:val="22"/>
          <w:lang w:val="en-US"/>
        </w:rPr>
        <w:t>D</w:t>
      </w:r>
      <w:r w:rsidRPr="00B62FFC">
        <w:rPr>
          <w:color w:val="auto"/>
          <w:sz w:val="22"/>
          <w:szCs w:val="22"/>
          <w:lang w:val="en-US"/>
        </w:rPr>
        <w:t xml:space="preserve">anish Statuary order no. 162 of the 28 January 2022 on the </w:t>
      </w:r>
      <w:r w:rsidRPr="00B62FFC">
        <w:rPr>
          <w:sz w:val="22"/>
          <w:szCs w:val="22"/>
          <w:lang w:val="en-US"/>
        </w:rPr>
        <w:t>administration of grants from the European Regional Development Fund and the</w:t>
      </w:r>
      <w:r w:rsidRPr="00D32CEE">
        <w:rPr>
          <w:sz w:val="22"/>
          <w:szCs w:val="22"/>
          <w:lang w:val="en-US"/>
        </w:rPr>
        <w:t xml:space="preserve"> European Social Fund </w:t>
      </w:r>
      <w:r w:rsidRPr="00B62FFC">
        <w:rPr>
          <w:sz w:val="22"/>
          <w:szCs w:val="22"/>
          <w:lang w:val="en-US"/>
        </w:rPr>
        <w:t>Plus</w:t>
      </w:r>
      <w:r>
        <w:rPr>
          <w:sz w:val="22"/>
          <w:szCs w:val="22"/>
          <w:lang w:val="en-US"/>
        </w:rPr>
        <w:t xml:space="preserve">, namely </w:t>
      </w:r>
      <w:r w:rsidRPr="00B62FFC">
        <w:rPr>
          <w:sz w:val="22"/>
          <w:szCs w:val="22"/>
          <w:lang w:val="en-US"/>
        </w:rPr>
        <w:t>§ 29.</w:t>
      </w:r>
      <w:r>
        <w:rPr>
          <w:sz w:val="22"/>
          <w:szCs w:val="22"/>
          <w:lang w:val="en-US"/>
        </w:rPr>
        <w:t xml:space="preserve"> </w:t>
      </w:r>
      <w:r>
        <w:rPr>
          <w:sz w:val="22"/>
          <w:szCs w:val="22"/>
          <w:lang w:val="en-US"/>
        </w:rPr>
        <w:br/>
      </w:r>
      <w:r>
        <w:rPr>
          <w:sz w:val="22"/>
          <w:szCs w:val="22"/>
          <w:lang w:val="en-US"/>
        </w:rPr>
        <w:br/>
      </w:r>
      <w:r w:rsidRPr="006B7125">
        <w:rPr>
          <w:sz w:val="22"/>
          <w:szCs w:val="22"/>
          <w:lang w:val="en-US"/>
        </w:rPr>
        <w:t xml:space="preserve">A version of the statute </w:t>
      </w:r>
      <w:r>
        <w:rPr>
          <w:sz w:val="22"/>
          <w:szCs w:val="22"/>
          <w:lang w:val="en-US"/>
        </w:rPr>
        <w:t xml:space="preserve">in </w:t>
      </w:r>
      <w:r w:rsidR="00652A5F">
        <w:rPr>
          <w:sz w:val="22"/>
          <w:szCs w:val="22"/>
          <w:lang w:val="en-US"/>
        </w:rPr>
        <w:t>D</w:t>
      </w:r>
      <w:r w:rsidRPr="006B7125">
        <w:rPr>
          <w:sz w:val="22"/>
          <w:szCs w:val="22"/>
          <w:lang w:val="en-US"/>
        </w:rPr>
        <w:t xml:space="preserve">anish may be found at: </w:t>
      </w:r>
      <w:hyperlink r:id="rId13" w:history="1">
        <w:r w:rsidRPr="006B7125">
          <w:rPr>
            <w:rStyle w:val="Hyperlink"/>
            <w:sz w:val="22"/>
            <w:szCs w:val="22"/>
            <w:lang w:val="en-US"/>
          </w:rPr>
          <w:t>https://www.retsinformation.dk/eli/lta/2022/162</w:t>
        </w:r>
      </w:hyperlink>
      <w:r w:rsidRPr="006B7125">
        <w:rPr>
          <w:sz w:val="22"/>
          <w:szCs w:val="22"/>
          <w:lang w:val="en-US"/>
        </w:rPr>
        <w:t xml:space="preserve">. </w:t>
      </w:r>
    </w:p>
    <w:p w14:paraId="1A9CDD41" w14:textId="77777777" w:rsidR="00971095" w:rsidRDefault="00971095" w:rsidP="00971095">
      <w:pPr>
        <w:pStyle w:val="Default"/>
        <w:rPr>
          <w:sz w:val="22"/>
          <w:szCs w:val="22"/>
          <w:lang w:val="en-US"/>
        </w:rPr>
      </w:pPr>
      <w:r w:rsidRPr="00F5359B">
        <w:rPr>
          <w:sz w:val="22"/>
          <w:szCs w:val="22"/>
          <w:lang w:val="en-US"/>
        </w:rPr>
        <w:t xml:space="preserve">The </w:t>
      </w:r>
      <w:r w:rsidRPr="00F5359B">
        <w:rPr>
          <w:b/>
          <w:bCs/>
          <w:sz w:val="22"/>
          <w:szCs w:val="22"/>
          <w:lang w:val="en-US"/>
        </w:rPr>
        <w:t>responsibility and task</w:t>
      </w:r>
      <w:r>
        <w:rPr>
          <w:b/>
          <w:bCs/>
          <w:sz w:val="22"/>
          <w:szCs w:val="22"/>
          <w:lang w:val="en-US"/>
        </w:rPr>
        <w:t>s</w:t>
      </w:r>
      <w:r w:rsidRPr="00F5359B">
        <w:rPr>
          <w:b/>
          <w:bCs/>
          <w:sz w:val="22"/>
          <w:szCs w:val="22"/>
          <w:lang w:val="en-US"/>
        </w:rPr>
        <w:t xml:space="preserve"> </w:t>
      </w:r>
      <w:r w:rsidRPr="00F5359B">
        <w:rPr>
          <w:sz w:val="22"/>
          <w:szCs w:val="22"/>
          <w:lang w:val="en-US"/>
        </w:rPr>
        <w:t xml:space="preserve">of the controller </w:t>
      </w:r>
      <w:r>
        <w:rPr>
          <w:sz w:val="22"/>
          <w:szCs w:val="22"/>
          <w:lang w:val="en-US"/>
        </w:rPr>
        <w:t>are</w:t>
      </w:r>
      <w:r w:rsidRPr="00F5359B">
        <w:rPr>
          <w:sz w:val="22"/>
          <w:szCs w:val="22"/>
          <w:lang w:val="en-US"/>
        </w:rPr>
        <w:t xml:space="preserve"> to verify that the co-financed products and services have been delivered</w:t>
      </w:r>
      <w:r>
        <w:rPr>
          <w:sz w:val="22"/>
          <w:szCs w:val="22"/>
          <w:lang w:val="en-US"/>
        </w:rPr>
        <w:t>,</w:t>
      </w:r>
      <w:r w:rsidRPr="00F5359B">
        <w:rPr>
          <w:sz w:val="22"/>
          <w:szCs w:val="22"/>
          <w:lang w:val="en-US"/>
        </w:rPr>
        <w:t xml:space="preserve"> that expenditure</w:t>
      </w:r>
      <w:r>
        <w:rPr>
          <w:sz w:val="22"/>
          <w:szCs w:val="22"/>
          <w:lang w:val="en-US"/>
        </w:rPr>
        <w:t>s</w:t>
      </w:r>
      <w:r w:rsidRPr="00F5359B">
        <w:rPr>
          <w:sz w:val="22"/>
          <w:szCs w:val="22"/>
          <w:lang w:val="en-US"/>
        </w:rPr>
        <w:t xml:space="preserve"> declared by the beneficiaries ha</w:t>
      </w:r>
      <w:r>
        <w:rPr>
          <w:sz w:val="22"/>
          <w:szCs w:val="22"/>
          <w:lang w:val="en-US"/>
        </w:rPr>
        <w:t>ve</w:t>
      </w:r>
      <w:r w:rsidRPr="00F5359B">
        <w:rPr>
          <w:sz w:val="22"/>
          <w:szCs w:val="22"/>
          <w:lang w:val="en-US"/>
        </w:rPr>
        <w:t xml:space="preserve"> been paid and that </w:t>
      </w:r>
      <w:r>
        <w:rPr>
          <w:sz w:val="22"/>
          <w:szCs w:val="22"/>
          <w:lang w:val="en-US"/>
        </w:rPr>
        <w:t>the project’s financial report complies</w:t>
      </w:r>
      <w:r w:rsidRPr="00F5359B">
        <w:rPr>
          <w:sz w:val="22"/>
          <w:szCs w:val="22"/>
          <w:lang w:val="en-US"/>
        </w:rPr>
        <w:t xml:space="preserve"> with applicable law, the operational programme and the conditions for </w:t>
      </w:r>
      <w:r>
        <w:rPr>
          <w:sz w:val="22"/>
          <w:szCs w:val="22"/>
          <w:lang w:val="en-US"/>
        </w:rPr>
        <w:t>aid to the project, i.e. that the expenses are eligible</w:t>
      </w:r>
      <w:r w:rsidRPr="00F5359B">
        <w:rPr>
          <w:sz w:val="22"/>
          <w:szCs w:val="22"/>
          <w:lang w:val="en-US"/>
        </w:rPr>
        <w:t xml:space="preserve">. </w:t>
      </w:r>
    </w:p>
    <w:p w14:paraId="72C901A1" w14:textId="77777777" w:rsidR="00F5359B" w:rsidRPr="00F5359B" w:rsidRDefault="00F5359B" w:rsidP="00F5359B">
      <w:pPr>
        <w:pStyle w:val="Default"/>
        <w:rPr>
          <w:sz w:val="22"/>
          <w:szCs w:val="22"/>
          <w:lang w:val="en-US"/>
        </w:rPr>
      </w:pPr>
    </w:p>
    <w:p w14:paraId="7C05BAD8" w14:textId="4F4D6F4F" w:rsidR="00893ADB" w:rsidRDefault="006D5B2D" w:rsidP="00893ADB">
      <w:pPr>
        <w:pStyle w:val="Default"/>
        <w:rPr>
          <w:sz w:val="22"/>
          <w:szCs w:val="22"/>
          <w:lang w:val="en-US"/>
        </w:rPr>
      </w:pPr>
      <w:r w:rsidRPr="00926A55">
        <w:rPr>
          <w:sz w:val="22"/>
          <w:szCs w:val="22"/>
          <w:lang w:val="en-GB"/>
        </w:rPr>
        <w:t>Upon designation</w:t>
      </w:r>
      <w:r w:rsidR="00F5359B" w:rsidRPr="00926A55">
        <w:rPr>
          <w:sz w:val="22"/>
          <w:szCs w:val="22"/>
          <w:lang w:val="en-GB"/>
        </w:rPr>
        <w:t xml:space="preserve"> the controller is requested to </w:t>
      </w:r>
      <w:r w:rsidR="00926A55" w:rsidRPr="00926A55">
        <w:rPr>
          <w:sz w:val="22"/>
          <w:szCs w:val="22"/>
          <w:lang w:val="en-GB"/>
        </w:rPr>
        <w:t xml:space="preserve">familiarise </w:t>
      </w:r>
      <w:r w:rsidR="003401B1">
        <w:rPr>
          <w:sz w:val="22"/>
          <w:szCs w:val="22"/>
          <w:lang w:val="en-GB"/>
        </w:rPr>
        <w:t>him- or herself</w:t>
      </w:r>
      <w:r w:rsidR="00F5359B" w:rsidRPr="00926A55">
        <w:rPr>
          <w:sz w:val="22"/>
          <w:szCs w:val="22"/>
          <w:lang w:val="en-GB"/>
        </w:rPr>
        <w:t xml:space="preserve"> with the applicable law, the operational programme and the conditions for support of the project. </w:t>
      </w:r>
      <w:r w:rsidR="00F03F3D" w:rsidRPr="00926A55">
        <w:rPr>
          <w:sz w:val="22"/>
          <w:szCs w:val="22"/>
          <w:lang w:val="en-GB"/>
        </w:rPr>
        <w:t xml:space="preserve">The controller shall implement the control of the activities through </w:t>
      </w:r>
      <w:r w:rsidR="00F03F3D" w:rsidRPr="00926A55">
        <w:rPr>
          <w:sz w:val="22"/>
          <w:szCs w:val="22"/>
          <w:lang w:val="en-GB"/>
        </w:rPr>
        <w:lastRenderedPageBreak/>
        <w:t>desk checks</w:t>
      </w:r>
      <w:r w:rsidR="00F03F3D">
        <w:rPr>
          <w:sz w:val="22"/>
          <w:szCs w:val="22"/>
          <w:lang w:val="en-GB"/>
        </w:rPr>
        <w:t>, and where necessary – based on a risk-assessment -</w:t>
      </w:r>
      <w:r w:rsidR="00F03F3D" w:rsidRPr="00926A55">
        <w:rPr>
          <w:sz w:val="22"/>
          <w:szCs w:val="22"/>
          <w:lang w:val="en-GB"/>
        </w:rPr>
        <w:t xml:space="preserve"> through </w:t>
      </w:r>
      <w:r w:rsidR="00F03F3D">
        <w:rPr>
          <w:sz w:val="22"/>
          <w:szCs w:val="22"/>
          <w:lang w:val="en-GB"/>
        </w:rPr>
        <w:t xml:space="preserve">complementary </w:t>
      </w:r>
      <w:r w:rsidR="00F03F3D" w:rsidRPr="00926A55">
        <w:rPr>
          <w:sz w:val="22"/>
          <w:szCs w:val="22"/>
          <w:lang w:val="en-GB"/>
        </w:rPr>
        <w:t>on</w:t>
      </w:r>
      <w:r w:rsidR="00F03F3D">
        <w:rPr>
          <w:sz w:val="22"/>
          <w:szCs w:val="22"/>
          <w:lang w:val="en-GB"/>
        </w:rPr>
        <w:t>-</w:t>
      </w:r>
      <w:r w:rsidR="00F03F3D" w:rsidRPr="00926A55">
        <w:rPr>
          <w:sz w:val="22"/>
          <w:szCs w:val="22"/>
          <w:lang w:val="en-GB"/>
        </w:rPr>
        <w:t>the</w:t>
      </w:r>
      <w:r w:rsidR="00F03F3D">
        <w:rPr>
          <w:sz w:val="22"/>
          <w:szCs w:val="22"/>
          <w:lang w:val="en-GB"/>
        </w:rPr>
        <w:t>-</w:t>
      </w:r>
      <w:r w:rsidR="00F03F3D" w:rsidRPr="00926A55">
        <w:rPr>
          <w:sz w:val="22"/>
          <w:szCs w:val="22"/>
          <w:lang w:val="en-GB"/>
        </w:rPr>
        <w:t>spot checks</w:t>
      </w:r>
      <w:r w:rsidR="00F03F3D">
        <w:rPr>
          <w:sz w:val="22"/>
          <w:szCs w:val="22"/>
          <w:lang w:val="en-GB"/>
        </w:rPr>
        <w:t xml:space="preserve">. </w:t>
      </w:r>
      <w:r w:rsidR="005D603F">
        <w:rPr>
          <w:sz w:val="22"/>
          <w:szCs w:val="22"/>
          <w:lang w:val="en-GB"/>
        </w:rPr>
        <w:t>T</w:t>
      </w:r>
      <w:r w:rsidR="00F03F3D">
        <w:rPr>
          <w:sz w:val="22"/>
          <w:szCs w:val="22"/>
          <w:lang w:val="en-GB"/>
        </w:rPr>
        <w:t>his</w:t>
      </w:r>
      <w:r w:rsidR="005D603F">
        <w:rPr>
          <w:sz w:val="22"/>
          <w:szCs w:val="22"/>
          <w:lang w:val="en-GB"/>
        </w:rPr>
        <w:t xml:space="preserve"> would often</w:t>
      </w:r>
      <w:r w:rsidR="00F03F3D">
        <w:rPr>
          <w:sz w:val="22"/>
          <w:szCs w:val="22"/>
          <w:lang w:val="en-GB"/>
        </w:rPr>
        <w:t xml:space="preserve"> be ne</w:t>
      </w:r>
      <w:r w:rsidR="005D603F">
        <w:rPr>
          <w:sz w:val="22"/>
          <w:szCs w:val="22"/>
          <w:lang w:val="en-GB"/>
        </w:rPr>
        <w:t>eded</w:t>
      </w:r>
      <w:r w:rsidR="00652A5F">
        <w:rPr>
          <w:sz w:val="22"/>
          <w:szCs w:val="22"/>
          <w:lang w:val="en-GB"/>
        </w:rPr>
        <w:t xml:space="preserve"> if pilot actions are implemented</w:t>
      </w:r>
      <w:r w:rsidR="00652A5F">
        <w:rPr>
          <w:sz w:val="22"/>
          <w:szCs w:val="22"/>
          <w:lang w:val="en-US"/>
        </w:rPr>
        <w:t>.</w:t>
      </w:r>
    </w:p>
    <w:p w14:paraId="2060C1D8" w14:textId="02DDDCD2" w:rsidR="00F03F3D" w:rsidRDefault="00F03F3D" w:rsidP="00F03F3D">
      <w:pPr>
        <w:pStyle w:val="Default"/>
        <w:rPr>
          <w:sz w:val="22"/>
          <w:szCs w:val="22"/>
          <w:lang w:val="en-US"/>
        </w:rPr>
      </w:pPr>
    </w:p>
    <w:p w14:paraId="45D98B15" w14:textId="77777777" w:rsidR="00E72DAE" w:rsidRPr="00DC3DF2" w:rsidRDefault="00E72DAE" w:rsidP="00E72DAE">
      <w:pPr>
        <w:pStyle w:val="BodyText"/>
      </w:pPr>
      <w:r>
        <w:t xml:space="preserve">The applicable </w:t>
      </w:r>
      <w:r w:rsidRPr="0043C2FB">
        <w:rPr>
          <w:b/>
        </w:rPr>
        <w:t>eligibility rules</w:t>
      </w:r>
      <w:r>
        <w:rPr>
          <w:b/>
        </w:rPr>
        <w:t xml:space="preserve"> </w:t>
      </w:r>
      <w:r>
        <w:rPr>
          <w:bCs/>
        </w:rPr>
        <w:t xml:space="preserve">are laid down </w:t>
      </w:r>
      <w:r w:rsidRPr="00DC3DF2">
        <w:rPr>
          <w:bCs/>
        </w:rPr>
        <w:t xml:space="preserve">in </w:t>
      </w:r>
      <w:r w:rsidRPr="00DC3DF2">
        <w:t>Articles 63 to 68 of Regulation (EU) 2021/1060</w:t>
      </w:r>
      <w:r>
        <w:t xml:space="preserve"> </w:t>
      </w:r>
      <w:r w:rsidRPr="00DC3DF2">
        <w:t>(</w:t>
      </w:r>
      <w:r>
        <w:t>‘CPR Regulation’</w:t>
      </w:r>
      <w:r w:rsidRPr="00DC3DF2">
        <w:t>)</w:t>
      </w:r>
      <w:r>
        <w:rPr>
          <w:rStyle w:val="FootnoteReference"/>
        </w:rPr>
        <w:footnoteReference w:id="2"/>
      </w:r>
      <w:r w:rsidRPr="00DC3DF2">
        <w:t>, in Articles 5 and 7 of (EU) 2021/1058</w:t>
      </w:r>
      <w:r>
        <w:t xml:space="preserve"> (‘ERDF and JTF Regulation’),</w:t>
      </w:r>
      <w:r>
        <w:rPr>
          <w:rStyle w:val="FootnoteReference"/>
        </w:rPr>
        <w:footnoteReference w:id="3"/>
      </w:r>
      <w:r w:rsidRPr="00DC3DF2">
        <w:t xml:space="preserve"> and art. 37 to 44 of the Interreg Regulation, including in act</w:t>
      </w:r>
      <w:r>
        <w:t>s</w:t>
      </w:r>
      <w:r w:rsidRPr="00DC3DF2">
        <w:t xml:space="preserve"> adopted thereunder. Additional eligibility rules may be set out in the Operational Programme, the Programme Rules, or Fact Sheets etc. as agreed upon by the participating Member States. In the absence of such rules, the national rules of the Member State in which the expenditure is incurred shall apply, cf. article 37(3) of the Interreg Regulation.</w:t>
      </w:r>
    </w:p>
    <w:p w14:paraId="45B96D29" w14:textId="77777777" w:rsidR="00E72DAE" w:rsidRPr="00502CC0" w:rsidRDefault="00E72DAE" w:rsidP="00E72DAE">
      <w:pPr>
        <w:pStyle w:val="Default"/>
        <w:rPr>
          <w:highlight w:val="yellow"/>
          <w:lang w:val="en-US"/>
        </w:rPr>
      </w:pPr>
    </w:p>
    <w:p w14:paraId="759D9123" w14:textId="77777777" w:rsidR="00E72DAE" w:rsidRDefault="00E72DAE" w:rsidP="00E72DAE">
      <w:pPr>
        <w:pStyle w:val="Default"/>
        <w:rPr>
          <w:sz w:val="22"/>
          <w:szCs w:val="22"/>
          <w:lang w:val="en-US"/>
        </w:rPr>
      </w:pPr>
      <w:r w:rsidRPr="00783E7F">
        <w:rPr>
          <w:sz w:val="22"/>
          <w:szCs w:val="22"/>
          <w:lang w:val="en-US"/>
        </w:rPr>
        <w:t xml:space="preserve">In reference to article 63(9) of </w:t>
      </w:r>
      <w:r>
        <w:rPr>
          <w:sz w:val="22"/>
          <w:szCs w:val="22"/>
          <w:lang w:val="en-US"/>
        </w:rPr>
        <w:t xml:space="preserve">the CPR Regulation, which prohibits </w:t>
      </w:r>
      <w:r w:rsidRPr="00F5359B">
        <w:rPr>
          <w:sz w:val="22"/>
          <w:szCs w:val="22"/>
          <w:lang w:val="en-US"/>
        </w:rPr>
        <w:t>“double financing”</w:t>
      </w:r>
      <w:r>
        <w:rPr>
          <w:sz w:val="22"/>
          <w:szCs w:val="22"/>
          <w:lang w:val="en-US"/>
        </w:rPr>
        <w:t xml:space="preserve">, </w:t>
      </w:r>
      <w:r w:rsidRPr="00F5359B">
        <w:rPr>
          <w:sz w:val="22"/>
          <w:szCs w:val="22"/>
          <w:lang w:val="en-US"/>
        </w:rPr>
        <w:t xml:space="preserve">information on other projects financed by Structural Funds is available from the Danish Business Authority or the relevant ETC Joint Secretariat. </w:t>
      </w:r>
    </w:p>
    <w:p w14:paraId="111C732B" w14:textId="77777777" w:rsidR="00F61E51" w:rsidRPr="00F5359B" w:rsidRDefault="00F61E51" w:rsidP="00F61E51">
      <w:pPr>
        <w:pStyle w:val="Default"/>
        <w:rPr>
          <w:sz w:val="22"/>
          <w:szCs w:val="22"/>
          <w:lang w:val="en-US"/>
        </w:rPr>
      </w:pPr>
    </w:p>
    <w:p w14:paraId="7449572E" w14:textId="69B3FCED" w:rsidR="008E26BC" w:rsidRDefault="008E26BC" w:rsidP="008E26BC">
      <w:pPr>
        <w:pStyle w:val="Default"/>
        <w:rPr>
          <w:sz w:val="22"/>
          <w:szCs w:val="22"/>
          <w:lang w:val="en-US"/>
        </w:rPr>
      </w:pPr>
      <w:r w:rsidRPr="003C42D9">
        <w:rPr>
          <w:sz w:val="22"/>
          <w:szCs w:val="22"/>
          <w:lang w:val="en-US"/>
        </w:rPr>
        <w:t>I</w:t>
      </w:r>
      <w:r>
        <w:rPr>
          <w:sz w:val="22"/>
          <w:szCs w:val="22"/>
          <w:lang w:val="en-US"/>
        </w:rPr>
        <w:t xml:space="preserve">f the matter of eligibility is not solved based on the rules mentioned above, Danish </w:t>
      </w:r>
      <w:r w:rsidRPr="003C42D9">
        <w:rPr>
          <w:sz w:val="22"/>
          <w:szCs w:val="22"/>
          <w:lang w:val="en-US"/>
        </w:rPr>
        <w:t xml:space="preserve">national rules </w:t>
      </w:r>
      <w:r>
        <w:rPr>
          <w:sz w:val="22"/>
          <w:szCs w:val="22"/>
          <w:lang w:val="en-US"/>
        </w:rPr>
        <w:t>apply</w:t>
      </w:r>
      <w:r w:rsidRPr="003C42D9">
        <w:rPr>
          <w:sz w:val="22"/>
          <w:szCs w:val="22"/>
          <w:lang w:val="en-US"/>
        </w:rPr>
        <w:t>.</w:t>
      </w:r>
      <w:r>
        <w:rPr>
          <w:sz w:val="22"/>
          <w:szCs w:val="22"/>
          <w:lang w:val="en-US"/>
        </w:rPr>
        <w:t xml:space="preserve"> These rules are laid down in</w:t>
      </w:r>
      <w:r w:rsidRPr="00F5359B">
        <w:rPr>
          <w:sz w:val="22"/>
          <w:szCs w:val="22"/>
          <w:lang w:val="en-US"/>
        </w:rPr>
        <w:t xml:space="preserve"> the</w:t>
      </w:r>
      <w:r>
        <w:rPr>
          <w:sz w:val="22"/>
          <w:szCs w:val="22"/>
          <w:lang w:val="en-US"/>
        </w:rPr>
        <w:t xml:space="preserve"> Danish statuary order no. 285 of 1</w:t>
      </w:r>
      <w:r w:rsidRPr="004853DC">
        <w:rPr>
          <w:sz w:val="22"/>
          <w:szCs w:val="22"/>
          <w:vertAlign w:val="superscript"/>
          <w:lang w:val="en-US"/>
        </w:rPr>
        <w:t>st</w:t>
      </w:r>
      <w:r>
        <w:rPr>
          <w:sz w:val="22"/>
          <w:szCs w:val="22"/>
          <w:lang w:val="en-US"/>
        </w:rPr>
        <w:t xml:space="preserve"> March 2022, including any future amendments. A version of the statute in </w:t>
      </w:r>
      <w:r w:rsidR="005D603F">
        <w:rPr>
          <w:sz w:val="22"/>
          <w:szCs w:val="22"/>
          <w:lang w:val="en-US"/>
        </w:rPr>
        <w:t>D</w:t>
      </w:r>
      <w:r>
        <w:rPr>
          <w:sz w:val="22"/>
          <w:szCs w:val="22"/>
          <w:lang w:val="en-US"/>
        </w:rPr>
        <w:t xml:space="preserve">anish can be found at: </w:t>
      </w:r>
      <w:hyperlink r:id="rId14" w:history="1">
        <w:r w:rsidRPr="00BE418E">
          <w:rPr>
            <w:rStyle w:val="Hyperlink"/>
            <w:sz w:val="22"/>
            <w:szCs w:val="22"/>
            <w:lang w:val="en-US"/>
          </w:rPr>
          <w:t>https://www.retsinformation.dk/eli/lta/2022/285</w:t>
        </w:r>
      </w:hyperlink>
      <w:r>
        <w:rPr>
          <w:sz w:val="22"/>
          <w:szCs w:val="22"/>
          <w:lang w:val="en-US"/>
        </w:rPr>
        <w:t xml:space="preserve">. </w:t>
      </w:r>
    </w:p>
    <w:p w14:paraId="4A1370B0" w14:textId="77777777" w:rsidR="00F5359B" w:rsidRDefault="00F5359B" w:rsidP="00F5359B">
      <w:pPr>
        <w:pStyle w:val="Default"/>
        <w:rPr>
          <w:sz w:val="22"/>
          <w:szCs w:val="22"/>
          <w:lang w:val="en-US"/>
        </w:rPr>
      </w:pPr>
    </w:p>
    <w:p w14:paraId="312A9A05" w14:textId="11C94937" w:rsidR="00494295" w:rsidRDefault="00494295" w:rsidP="00494295">
      <w:pPr>
        <w:pStyle w:val="Default"/>
        <w:rPr>
          <w:sz w:val="22"/>
          <w:szCs w:val="22"/>
          <w:lang w:val="en-US"/>
        </w:rPr>
      </w:pPr>
      <w:r>
        <w:rPr>
          <w:sz w:val="22"/>
          <w:szCs w:val="22"/>
          <w:lang w:val="en-US"/>
        </w:rPr>
        <w:t xml:space="preserve">It is noted that a number of provisions in the statutory order allows </w:t>
      </w:r>
      <w:r w:rsidRPr="003F71D5">
        <w:rPr>
          <w:sz w:val="22"/>
          <w:szCs w:val="22"/>
          <w:lang w:val="en-US"/>
        </w:rPr>
        <w:t>the managing authority of the individual programme to establish more specific instructions.</w:t>
      </w:r>
      <w:r w:rsidRPr="00F5359B">
        <w:rPr>
          <w:sz w:val="22"/>
          <w:szCs w:val="22"/>
          <w:lang w:val="en-US"/>
        </w:rPr>
        <w:t xml:space="preserve"> </w:t>
      </w:r>
      <w:r>
        <w:rPr>
          <w:sz w:val="22"/>
          <w:szCs w:val="22"/>
          <w:lang w:val="en-US"/>
        </w:rPr>
        <w:t>In</w:t>
      </w:r>
      <w:r w:rsidRPr="00F5359B">
        <w:rPr>
          <w:sz w:val="22"/>
          <w:szCs w:val="22"/>
          <w:lang w:val="en-US"/>
        </w:rPr>
        <w:t xml:space="preserve"> such cases the instructions of the individual European territorial cooperation pr</w:t>
      </w:r>
      <w:r>
        <w:rPr>
          <w:sz w:val="22"/>
          <w:szCs w:val="22"/>
          <w:lang w:val="en-US"/>
        </w:rPr>
        <w:t>o</w:t>
      </w:r>
      <w:r w:rsidRPr="00F5359B">
        <w:rPr>
          <w:sz w:val="22"/>
          <w:szCs w:val="22"/>
          <w:lang w:val="en-US"/>
        </w:rPr>
        <w:t>gramme, in this case the</w:t>
      </w:r>
      <w:r w:rsidRPr="003F71D5">
        <w:rPr>
          <w:b/>
          <w:sz w:val="22"/>
          <w:szCs w:val="22"/>
          <w:lang w:val="en-US"/>
        </w:rPr>
        <w:t xml:space="preserve"> </w:t>
      </w:r>
      <w:r w:rsidR="0038215C" w:rsidRPr="005D603F">
        <w:rPr>
          <w:b/>
          <w:color w:val="auto"/>
          <w:sz w:val="22"/>
          <w:szCs w:val="22"/>
          <w:lang w:val="en-US"/>
        </w:rPr>
        <w:t xml:space="preserve">Interreg </w:t>
      </w:r>
      <w:r w:rsidR="005D603F">
        <w:rPr>
          <w:b/>
          <w:color w:val="auto"/>
          <w:sz w:val="22"/>
          <w:szCs w:val="22"/>
          <w:lang w:val="en-US"/>
        </w:rPr>
        <w:t>Europe</w:t>
      </w:r>
      <w:r w:rsidRPr="005D603F">
        <w:rPr>
          <w:b/>
          <w:color w:val="auto"/>
          <w:sz w:val="22"/>
          <w:szCs w:val="22"/>
          <w:lang w:val="en-US"/>
        </w:rPr>
        <w:t xml:space="preserve"> 2021-2027</w:t>
      </w:r>
      <w:r>
        <w:rPr>
          <w:b/>
          <w:sz w:val="22"/>
          <w:szCs w:val="22"/>
          <w:lang w:val="en-US"/>
        </w:rPr>
        <w:t>,</w:t>
      </w:r>
      <w:r w:rsidRPr="00F5359B">
        <w:rPr>
          <w:sz w:val="22"/>
          <w:szCs w:val="22"/>
          <w:lang w:val="en-US"/>
        </w:rPr>
        <w:t xml:space="preserve"> are valid</w:t>
      </w:r>
      <w:r>
        <w:rPr>
          <w:sz w:val="22"/>
          <w:szCs w:val="22"/>
          <w:lang w:val="en-US"/>
        </w:rPr>
        <w:t xml:space="preserve"> (c</w:t>
      </w:r>
      <w:r w:rsidRPr="00F5359B">
        <w:rPr>
          <w:sz w:val="22"/>
          <w:szCs w:val="22"/>
          <w:lang w:val="en-US"/>
        </w:rPr>
        <w:t>f. above</w:t>
      </w:r>
      <w:r>
        <w:rPr>
          <w:sz w:val="22"/>
          <w:szCs w:val="22"/>
          <w:lang w:val="en-US"/>
        </w:rPr>
        <w:t>)</w:t>
      </w:r>
      <w:r w:rsidRPr="00F5359B">
        <w:rPr>
          <w:sz w:val="22"/>
          <w:szCs w:val="22"/>
          <w:lang w:val="en-US"/>
        </w:rPr>
        <w:t xml:space="preserve">. </w:t>
      </w:r>
    </w:p>
    <w:p w14:paraId="7A269C02" w14:textId="77777777" w:rsidR="008B5896" w:rsidRDefault="008B5896" w:rsidP="00494295">
      <w:pPr>
        <w:pStyle w:val="Default"/>
        <w:rPr>
          <w:sz w:val="22"/>
          <w:szCs w:val="22"/>
          <w:lang w:val="en-US"/>
        </w:rPr>
      </w:pPr>
    </w:p>
    <w:p w14:paraId="7A1A6D64" w14:textId="1A6464A9" w:rsidR="008B5896" w:rsidRDefault="008B5896" w:rsidP="008B5896">
      <w:pPr>
        <w:pStyle w:val="Default"/>
        <w:rPr>
          <w:sz w:val="22"/>
          <w:szCs w:val="22"/>
          <w:lang w:val="en-US"/>
        </w:rPr>
      </w:pPr>
      <w:r w:rsidRPr="00F5359B">
        <w:rPr>
          <w:sz w:val="22"/>
          <w:szCs w:val="22"/>
          <w:lang w:val="en-US"/>
        </w:rPr>
        <w:t>I</w:t>
      </w:r>
      <w:r>
        <w:rPr>
          <w:sz w:val="22"/>
          <w:szCs w:val="22"/>
          <w:lang w:val="en-US"/>
        </w:rPr>
        <w:t>f</w:t>
      </w:r>
      <w:r w:rsidRPr="00F5359B">
        <w:rPr>
          <w:sz w:val="22"/>
          <w:szCs w:val="22"/>
          <w:lang w:val="en-US"/>
        </w:rPr>
        <w:t xml:space="preserve"> the instructions of the </w:t>
      </w:r>
      <w:r w:rsidR="001F4BFF" w:rsidRPr="005D603F">
        <w:rPr>
          <w:b/>
          <w:bCs/>
          <w:sz w:val="22"/>
          <w:szCs w:val="22"/>
          <w:lang w:val="en-US"/>
        </w:rPr>
        <w:t xml:space="preserve">Interreg </w:t>
      </w:r>
      <w:r w:rsidR="005D603F" w:rsidRPr="005D603F">
        <w:rPr>
          <w:b/>
          <w:bCs/>
          <w:sz w:val="22"/>
          <w:szCs w:val="22"/>
          <w:lang w:val="en-US"/>
        </w:rPr>
        <w:t xml:space="preserve">Europe </w:t>
      </w:r>
      <w:r w:rsidRPr="005D603F">
        <w:rPr>
          <w:b/>
          <w:bCs/>
          <w:sz w:val="22"/>
          <w:szCs w:val="22"/>
          <w:lang w:val="en-US"/>
        </w:rPr>
        <w:t>2021-2027</w:t>
      </w:r>
      <w:r>
        <w:rPr>
          <w:sz w:val="22"/>
          <w:szCs w:val="22"/>
          <w:lang w:val="en-US"/>
        </w:rPr>
        <w:t xml:space="preserve"> </w:t>
      </w:r>
      <w:r w:rsidRPr="00F5359B">
        <w:rPr>
          <w:sz w:val="22"/>
          <w:szCs w:val="22"/>
          <w:lang w:val="en-US"/>
        </w:rPr>
        <w:t>refer</w:t>
      </w:r>
      <w:r>
        <w:rPr>
          <w:sz w:val="22"/>
          <w:szCs w:val="22"/>
          <w:lang w:val="en-US"/>
        </w:rPr>
        <w:t xml:space="preserve"> back</w:t>
      </w:r>
      <w:r w:rsidRPr="00F5359B">
        <w:rPr>
          <w:sz w:val="22"/>
          <w:szCs w:val="22"/>
          <w:lang w:val="en-US"/>
        </w:rPr>
        <w:t xml:space="preserve"> to </w:t>
      </w:r>
      <w:r>
        <w:rPr>
          <w:sz w:val="22"/>
          <w:szCs w:val="22"/>
          <w:lang w:val="en-US"/>
        </w:rPr>
        <w:t xml:space="preserve">the </w:t>
      </w:r>
      <w:r w:rsidRPr="00F5359B">
        <w:rPr>
          <w:sz w:val="22"/>
          <w:szCs w:val="22"/>
          <w:lang w:val="en-US"/>
        </w:rPr>
        <w:t>national regulations</w:t>
      </w:r>
      <w:r>
        <w:rPr>
          <w:sz w:val="22"/>
          <w:szCs w:val="22"/>
          <w:lang w:val="en-US"/>
        </w:rPr>
        <w:t xml:space="preserve"> and the statutory order provides no answer (cf. above)</w:t>
      </w:r>
      <w:r w:rsidRPr="00F5359B">
        <w:rPr>
          <w:sz w:val="22"/>
          <w:szCs w:val="22"/>
          <w:lang w:val="en-US"/>
        </w:rPr>
        <w:t xml:space="preserve">, the </w:t>
      </w:r>
      <w:r>
        <w:rPr>
          <w:sz w:val="22"/>
          <w:szCs w:val="22"/>
          <w:lang w:val="en-US"/>
        </w:rPr>
        <w:t xml:space="preserve">Danish </w:t>
      </w:r>
      <w:r w:rsidRPr="00F5359B">
        <w:rPr>
          <w:sz w:val="22"/>
          <w:szCs w:val="22"/>
          <w:lang w:val="en-US"/>
        </w:rPr>
        <w:t>Guidelines on projects financed by the Structural Fund</w:t>
      </w:r>
      <w:r>
        <w:rPr>
          <w:sz w:val="22"/>
          <w:szCs w:val="22"/>
          <w:lang w:val="en-US"/>
        </w:rPr>
        <w:t>s 2021-2027 may</w:t>
      </w:r>
      <w:r w:rsidRPr="00F5359B">
        <w:rPr>
          <w:sz w:val="22"/>
          <w:szCs w:val="22"/>
          <w:lang w:val="en-US"/>
        </w:rPr>
        <w:t xml:space="preserve"> be used as a guide for interpretation</w:t>
      </w:r>
      <w:r>
        <w:rPr>
          <w:sz w:val="22"/>
          <w:szCs w:val="22"/>
          <w:lang w:val="en-US"/>
        </w:rPr>
        <w:t xml:space="preserve">. A version of these guidelines in Danish can be found at </w:t>
      </w:r>
      <w:hyperlink r:id="rId15" w:history="1">
        <w:r w:rsidRPr="00BE418E">
          <w:rPr>
            <w:rStyle w:val="Hyperlink"/>
            <w:sz w:val="22"/>
            <w:szCs w:val="22"/>
            <w:lang w:val="en-US"/>
          </w:rPr>
          <w:t>https://udviklingidanmark.erhvervsstyrelsen.dk/sites/default/files/2022-07/Vejledning%20om%20st%C3%B8tteberettigelse%202021-2027.pdf</w:t>
        </w:r>
      </w:hyperlink>
      <w:r>
        <w:rPr>
          <w:sz w:val="22"/>
          <w:szCs w:val="22"/>
          <w:lang w:val="en-US"/>
        </w:rPr>
        <w:t xml:space="preserve">. </w:t>
      </w:r>
      <w:r w:rsidRPr="00F5359B">
        <w:rPr>
          <w:sz w:val="22"/>
          <w:szCs w:val="22"/>
          <w:lang w:val="en-US"/>
        </w:rPr>
        <w:t xml:space="preserve"> </w:t>
      </w:r>
    </w:p>
    <w:p w14:paraId="332052EF" w14:textId="77777777" w:rsidR="008B5896" w:rsidRDefault="008B5896" w:rsidP="00494295">
      <w:pPr>
        <w:pStyle w:val="Default"/>
        <w:rPr>
          <w:sz w:val="22"/>
          <w:szCs w:val="22"/>
          <w:lang w:val="en-US"/>
        </w:rPr>
      </w:pPr>
    </w:p>
    <w:p w14:paraId="020A5610" w14:textId="77777777" w:rsidR="005F417A" w:rsidRDefault="005F417A" w:rsidP="005F417A">
      <w:pPr>
        <w:rPr>
          <w:color w:val="000000"/>
          <w:szCs w:val="22"/>
          <w:lang w:val="en-US" w:eastAsia="da-DK"/>
        </w:rPr>
      </w:pPr>
      <w:r>
        <w:rPr>
          <w:color w:val="000000"/>
          <w:szCs w:val="22"/>
          <w:lang w:val="en-US" w:eastAsia="da-DK"/>
        </w:rPr>
        <w:t>Additional regulations may also be considered of relevance for the control and verification of expenses. These include, but are not limited to, the following:</w:t>
      </w:r>
    </w:p>
    <w:p w14:paraId="6194600E" w14:textId="77777777" w:rsidR="005F417A" w:rsidRDefault="005F417A" w:rsidP="005F417A">
      <w:pPr>
        <w:pStyle w:val="Default"/>
        <w:rPr>
          <w:sz w:val="22"/>
          <w:szCs w:val="22"/>
          <w:lang w:val="en-US"/>
        </w:rPr>
      </w:pPr>
    </w:p>
    <w:p w14:paraId="1435D46E" w14:textId="77777777" w:rsidR="005F417A" w:rsidRDefault="005F417A" w:rsidP="005F417A">
      <w:pPr>
        <w:pStyle w:val="Default"/>
        <w:numPr>
          <w:ilvl w:val="0"/>
          <w:numId w:val="8"/>
        </w:numPr>
        <w:rPr>
          <w:sz w:val="22"/>
          <w:szCs w:val="22"/>
          <w:lang w:val="en-US"/>
        </w:rPr>
      </w:pPr>
      <w:r w:rsidRPr="00610F59">
        <w:rPr>
          <w:sz w:val="22"/>
          <w:szCs w:val="22"/>
          <w:lang w:val="en-US"/>
        </w:rPr>
        <w:t xml:space="preserve">Directive 2014/24/EU of the European Parliament and of the Council of 26 February 2014 on </w:t>
      </w:r>
      <w:r w:rsidRPr="00610F59">
        <w:rPr>
          <w:b/>
          <w:bCs/>
          <w:sz w:val="22"/>
          <w:szCs w:val="22"/>
          <w:lang w:val="en-US"/>
        </w:rPr>
        <w:t>Public Procurement</w:t>
      </w:r>
      <w:r w:rsidRPr="00610F59">
        <w:rPr>
          <w:sz w:val="22"/>
          <w:szCs w:val="22"/>
          <w:lang w:val="en-US"/>
        </w:rPr>
        <w:t xml:space="preserve"> </w:t>
      </w:r>
      <w:r>
        <w:rPr>
          <w:sz w:val="22"/>
          <w:szCs w:val="22"/>
          <w:lang w:val="en-US"/>
        </w:rPr>
        <w:t xml:space="preserve">including later amendments. </w:t>
      </w:r>
    </w:p>
    <w:p w14:paraId="7023342F" w14:textId="77777777" w:rsidR="005F417A" w:rsidRDefault="005F417A" w:rsidP="005F417A">
      <w:pPr>
        <w:pStyle w:val="Default"/>
        <w:ind w:left="720"/>
        <w:rPr>
          <w:sz w:val="22"/>
          <w:szCs w:val="22"/>
          <w:lang w:val="en-US"/>
        </w:rPr>
      </w:pPr>
    </w:p>
    <w:p w14:paraId="1195E012" w14:textId="10DEFF4C" w:rsidR="005F417A" w:rsidRDefault="005F417A" w:rsidP="005F417A">
      <w:pPr>
        <w:pStyle w:val="Default"/>
        <w:ind w:left="720"/>
        <w:rPr>
          <w:sz w:val="22"/>
          <w:szCs w:val="22"/>
          <w:lang w:val="en-US"/>
        </w:rPr>
      </w:pPr>
      <w:r>
        <w:rPr>
          <w:sz w:val="22"/>
          <w:szCs w:val="22"/>
          <w:lang w:val="en-US"/>
        </w:rPr>
        <w:lastRenderedPageBreak/>
        <w:t xml:space="preserve">The directive has been implemented in Denmark as part of the Danish Public Procurement Act (act no. 1564 of 15 December 2015) including later amendments. A </w:t>
      </w:r>
      <w:r w:rsidR="005D603F">
        <w:rPr>
          <w:sz w:val="22"/>
          <w:szCs w:val="22"/>
          <w:lang w:val="en-US"/>
        </w:rPr>
        <w:t>D</w:t>
      </w:r>
      <w:r>
        <w:rPr>
          <w:sz w:val="22"/>
          <w:szCs w:val="22"/>
          <w:lang w:val="en-US"/>
        </w:rPr>
        <w:t xml:space="preserve">anish version of the act can be found at </w:t>
      </w:r>
      <w:hyperlink r:id="rId16" w:history="1">
        <w:r w:rsidRPr="00BE418E">
          <w:rPr>
            <w:rStyle w:val="Hyperlink"/>
            <w:sz w:val="22"/>
            <w:szCs w:val="22"/>
            <w:lang w:val="en-US"/>
          </w:rPr>
          <w:t>https://www.retsinformation.dk/eli/lta/2015/1564</w:t>
        </w:r>
      </w:hyperlink>
      <w:r>
        <w:rPr>
          <w:sz w:val="22"/>
          <w:szCs w:val="22"/>
          <w:lang w:val="en-US"/>
        </w:rPr>
        <w:t xml:space="preserve">. </w:t>
      </w:r>
    </w:p>
    <w:p w14:paraId="3DC1C2B8" w14:textId="77777777" w:rsidR="005F417A" w:rsidRDefault="005F417A" w:rsidP="005F417A">
      <w:pPr>
        <w:pStyle w:val="Default"/>
        <w:ind w:left="720"/>
        <w:rPr>
          <w:sz w:val="22"/>
          <w:szCs w:val="22"/>
          <w:lang w:val="en-US"/>
        </w:rPr>
      </w:pPr>
    </w:p>
    <w:p w14:paraId="4D57DED1" w14:textId="77777777" w:rsidR="005F417A" w:rsidRDefault="005F417A" w:rsidP="005F417A">
      <w:pPr>
        <w:pStyle w:val="Default"/>
        <w:numPr>
          <w:ilvl w:val="0"/>
          <w:numId w:val="8"/>
        </w:numPr>
        <w:rPr>
          <w:sz w:val="22"/>
          <w:szCs w:val="22"/>
          <w:lang w:val="en-US"/>
        </w:rPr>
      </w:pPr>
      <w:r>
        <w:rPr>
          <w:sz w:val="22"/>
          <w:szCs w:val="22"/>
          <w:lang w:val="en-US"/>
        </w:rPr>
        <w:t xml:space="preserve">The Commissions regulations on </w:t>
      </w:r>
      <w:r>
        <w:rPr>
          <w:b/>
          <w:bCs/>
          <w:sz w:val="22"/>
          <w:szCs w:val="22"/>
          <w:lang w:val="en-US"/>
        </w:rPr>
        <w:t xml:space="preserve">State Aid </w:t>
      </w:r>
      <w:r>
        <w:rPr>
          <w:sz w:val="22"/>
          <w:szCs w:val="22"/>
          <w:lang w:val="en-US"/>
        </w:rPr>
        <w:t xml:space="preserve">including </w:t>
      </w:r>
      <w:r w:rsidRPr="002B12E7">
        <w:rPr>
          <w:sz w:val="22"/>
          <w:szCs w:val="22"/>
          <w:lang w:val="en-US"/>
        </w:rPr>
        <w:t xml:space="preserve">Commission Regulation No 651/2014 of 17 June 2014 declaring certain categories of aid compatible with the internal market in application of Articles 107 and 108 of the Treaty </w:t>
      </w:r>
      <w:r>
        <w:rPr>
          <w:sz w:val="22"/>
          <w:szCs w:val="22"/>
          <w:lang w:val="en-US"/>
        </w:rPr>
        <w:t>and C</w:t>
      </w:r>
      <w:r w:rsidRPr="009A1055">
        <w:rPr>
          <w:sz w:val="22"/>
          <w:szCs w:val="22"/>
          <w:lang w:val="en-US"/>
        </w:rPr>
        <w:t>ommission Regulation No 1407/2013 of 18 December 2013 on the application of Articles 107 and 108 of the Treaty on the Functioning of the European Union to de minimis aid</w:t>
      </w:r>
      <w:r>
        <w:rPr>
          <w:sz w:val="22"/>
          <w:szCs w:val="22"/>
          <w:lang w:val="en-US"/>
        </w:rPr>
        <w:t>, both including later amendments.</w:t>
      </w:r>
    </w:p>
    <w:p w14:paraId="3F0BC6D3" w14:textId="77777777" w:rsidR="005F417A" w:rsidRDefault="005F417A" w:rsidP="005F417A">
      <w:pPr>
        <w:pStyle w:val="Default"/>
        <w:ind w:left="720"/>
        <w:rPr>
          <w:sz w:val="22"/>
          <w:szCs w:val="22"/>
          <w:lang w:val="en-US"/>
        </w:rPr>
      </w:pPr>
    </w:p>
    <w:p w14:paraId="41D770C2" w14:textId="77777777" w:rsidR="005F417A" w:rsidRPr="00951C5A" w:rsidRDefault="005F417A" w:rsidP="005F417A">
      <w:pPr>
        <w:pStyle w:val="Default"/>
        <w:ind w:left="720"/>
        <w:rPr>
          <w:sz w:val="22"/>
          <w:szCs w:val="22"/>
          <w:lang w:val="en-US"/>
        </w:rPr>
      </w:pPr>
      <w:r>
        <w:rPr>
          <w:sz w:val="22"/>
          <w:szCs w:val="22"/>
          <w:lang w:val="en-US"/>
        </w:rPr>
        <w:t xml:space="preserve">The regulations are directly applicable in Denmark and thus no implementing measures have been taken. Guidance on the application of the State Aid rules may however be found in Danish at </w:t>
      </w:r>
      <w:hyperlink r:id="rId17" w:history="1">
        <w:r w:rsidRPr="00BE418E">
          <w:rPr>
            <w:rStyle w:val="Hyperlink"/>
            <w:sz w:val="22"/>
            <w:szCs w:val="22"/>
            <w:lang w:val="en-US"/>
          </w:rPr>
          <w:t>https://em.dk/ministeriet/arbejdsomraader/erhvervsregulering-og-internationale-forhold/statsstoette/</w:t>
        </w:r>
      </w:hyperlink>
      <w:r>
        <w:rPr>
          <w:sz w:val="22"/>
          <w:szCs w:val="22"/>
          <w:lang w:val="en-US"/>
        </w:rPr>
        <w:t xml:space="preserve"> or at </w:t>
      </w:r>
      <w:hyperlink r:id="rId18" w:history="1">
        <w:r w:rsidRPr="00BE418E">
          <w:rPr>
            <w:rStyle w:val="Hyperlink"/>
            <w:sz w:val="22"/>
            <w:szCs w:val="22"/>
            <w:lang w:val="en-US"/>
          </w:rPr>
          <w:t>https://udviklingidanmark.erhvervsstyrelsen.dk/love-og-regler-i-2021-2027</w:t>
        </w:r>
      </w:hyperlink>
      <w:r>
        <w:rPr>
          <w:sz w:val="22"/>
          <w:szCs w:val="22"/>
          <w:lang w:val="en-US"/>
        </w:rPr>
        <w:t xml:space="preserve"> where a Danish version of the above mentioned regulations can be found. </w:t>
      </w:r>
    </w:p>
    <w:p w14:paraId="010D8FBB" w14:textId="77777777" w:rsidR="005F417A" w:rsidRDefault="005F417A" w:rsidP="005F417A">
      <w:pPr>
        <w:pStyle w:val="Default"/>
        <w:ind w:left="720"/>
        <w:rPr>
          <w:sz w:val="22"/>
          <w:szCs w:val="22"/>
          <w:lang w:val="en-US"/>
        </w:rPr>
      </w:pPr>
      <w:r w:rsidRPr="00B62FFC">
        <w:rPr>
          <w:sz w:val="22"/>
          <w:szCs w:val="22"/>
          <w:lang w:val="en-US"/>
        </w:rPr>
        <w:t xml:space="preserve"> </w:t>
      </w:r>
    </w:p>
    <w:p w14:paraId="004FB6D4" w14:textId="29C18216" w:rsidR="005F417A" w:rsidRPr="00024C6D" w:rsidRDefault="005F417A" w:rsidP="005F417A">
      <w:pPr>
        <w:pStyle w:val="Default"/>
        <w:numPr>
          <w:ilvl w:val="0"/>
          <w:numId w:val="8"/>
        </w:numPr>
        <w:spacing w:after="328"/>
        <w:rPr>
          <w:sz w:val="22"/>
          <w:szCs w:val="22"/>
          <w:lang w:val="en-US"/>
        </w:rPr>
      </w:pPr>
      <w:r w:rsidRPr="003E0018">
        <w:rPr>
          <w:color w:val="auto"/>
          <w:sz w:val="22"/>
          <w:szCs w:val="22"/>
          <w:lang w:val="en-US"/>
        </w:rPr>
        <w:t xml:space="preserve">The </w:t>
      </w:r>
      <w:r>
        <w:rPr>
          <w:color w:val="auto"/>
          <w:sz w:val="22"/>
          <w:szCs w:val="22"/>
          <w:lang w:val="en-US"/>
        </w:rPr>
        <w:t xml:space="preserve">Danish </w:t>
      </w:r>
      <w:r w:rsidRPr="003E0018">
        <w:rPr>
          <w:b/>
          <w:bCs/>
          <w:color w:val="auto"/>
          <w:sz w:val="22"/>
          <w:szCs w:val="22"/>
          <w:lang w:val="en-US"/>
        </w:rPr>
        <w:t>Environmental Protection</w:t>
      </w:r>
      <w:r w:rsidRPr="003E0018">
        <w:rPr>
          <w:color w:val="auto"/>
          <w:sz w:val="22"/>
          <w:szCs w:val="22"/>
          <w:lang w:val="en-US"/>
        </w:rPr>
        <w:t xml:space="preserve"> Act</w:t>
      </w:r>
      <w:r>
        <w:rPr>
          <w:color w:val="auto"/>
          <w:sz w:val="22"/>
          <w:szCs w:val="22"/>
          <w:lang w:val="en-US"/>
        </w:rPr>
        <w:t xml:space="preserve"> (act no. 100 of 19 January 2022) including later amendments. The act implements parts of a number of EU directives. </w:t>
      </w:r>
      <w:r>
        <w:rPr>
          <w:sz w:val="22"/>
          <w:szCs w:val="22"/>
          <w:lang w:val="en-US"/>
        </w:rPr>
        <w:t xml:space="preserve">A </w:t>
      </w:r>
      <w:r w:rsidR="005D603F">
        <w:rPr>
          <w:sz w:val="22"/>
          <w:szCs w:val="22"/>
          <w:lang w:val="en-US"/>
        </w:rPr>
        <w:t>D</w:t>
      </w:r>
      <w:r>
        <w:rPr>
          <w:sz w:val="22"/>
          <w:szCs w:val="22"/>
          <w:lang w:val="en-US"/>
        </w:rPr>
        <w:t xml:space="preserve">anish version of the act can be found at </w:t>
      </w:r>
      <w:hyperlink r:id="rId19" w:history="1">
        <w:r w:rsidRPr="00BE418E">
          <w:rPr>
            <w:rStyle w:val="Hyperlink"/>
            <w:sz w:val="22"/>
            <w:szCs w:val="22"/>
            <w:lang w:val="en-US"/>
          </w:rPr>
          <w:t>https://www.retsinformation.dk/eli/lta/2022/100</w:t>
        </w:r>
      </w:hyperlink>
      <w:r>
        <w:rPr>
          <w:sz w:val="22"/>
          <w:szCs w:val="22"/>
          <w:lang w:val="en-US"/>
        </w:rPr>
        <w:t xml:space="preserve">. </w:t>
      </w:r>
    </w:p>
    <w:p w14:paraId="0D2597D8" w14:textId="77777777" w:rsidR="005F417A" w:rsidRPr="00717D83" w:rsidRDefault="005F417A" w:rsidP="005F417A">
      <w:pPr>
        <w:pStyle w:val="Default"/>
        <w:numPr>
          <w:ilvl w:val="0"/>
          <w:numId w:val="8"/>
        </w:numPr>
        <w:rPr>
          <w:sz w:val="22"/>
          <w:szCs w:val="22"/>
          <w:lang w:val="en-US"/>
        </w:rPr>
      </w:pPr>
      <w:r w:rsidRPr="00717D83">
        <w:rPr>
          <w:sz w:val="22"/>
          <w:szCs w:val="22"/>
          <w:lang w:val="en-US"/>
        </w:rPr>
        <w:t xml:space="preserve">Council Directive 2004/113/EC of 13 December 2004 implementing the principle of </w:t>
      </w:r>
      <w:r w:rsidRPr="00717D83">
        <w:rPr>
          <w:b/>
          <w:bCs/>
          <w:sz w:val="22"/>
          <w:szCs w:val="22"/>
          <w:lang w:val="en-US"/>
        </w:rPr>
        <w:t>equal treatment</w:t>
      </w:r>
      <w:r w:rsidRPr="00717D83">
        <w:rPr>
          <w:sz w:val="22"/>
          <w:szCs w:val="22"/>
          <w:lang w:val="en-US"/>
        </w:rPr>
        <w:t xml:space="preserve"> between men and women in the access to and supply of goods</w:t>
      </w:r>
      <w:r>
        <w:rPr>
          <w:sz w:val="22"/>
          <w:szCs w:val="22"/>
          <w:lang w:val="en-US"/>
        </w:rPr>
        <w:t xml:space="preserve"> or services </w:t>
      </w:r>
      <w:r w:rsidRPr="00717D83">
        <w:rPr>
          <w:sz w:val="22"/>
          <w:szCs w:val="22"/>
          <w:lang w:val="en-US"/>
        </w:rPr>
        <w:t xml:space="preserve">including later amendments. </w:t>
      </w:r>
    </w:p>
    <w:p w14:paraId="763EFA9D" w14:textId="77777777" w:rsidR="005F417A" w:rsidRDefault="005F417A" w:rsidP="005F417A">
      <w:pPr>
        <w:pStyle w:val="Default"/>
        <w:ind w:left="720"/>
        <w:rPr>
          <w:sz w:val="22"/>
          <w:szCs w:val="22"/>
          <w:lang w:val="en-US"/>
        </w:rPr>
      </w:pPr>
    </w:p>
    <w:p w14:paraId="692155DD" w14:textId="77C4F351" w:rsidR="005F417A" w:rsidRDefault="005F417A" w:rsidP="005F417A">
      <w:pPr>
        <w:pStyle w:val="Default"/>
        <w:ind w:left="720"/>
        <w:rPr>
          <w:color w:val="auto"/>
          <w:sz w:val="22"/>
          <w:szCs w:val="22"/>
          <w:lang w:val="en-US"/>
        </w:rPr>
      </w:pPr>
      <w:r>
        <w:rPr>
          <w:sz w:val="22"/>
          <w:szCs w:val="22"/>
          <w:lang w:val="en-US"/>
        </w:rPr>
        <w:t>The directive has been implemented in Denmark as part of t</w:t>
      </w:r>
      <w:r w:rsidRPr="006C28E9">
        <w:rPr>
          <w:color w:val="auto"/>
          <w:sz w:val="22"/>
          <w:szCs w:val="22"/>
          <w:lang w:val="en-US"/>
        </w:rPr>
        <w:t xml:space="preserve">he Danish Equal Opportunities Act (act no. 751 of 26 April 2021) including later amendments. </w:t>
      </w:r>
      <w:r>
        <w:rPr>
          <w:color w:val="auto"/>
          <w:sz w:val="22"/>
          <w:szCs w:val="22"/>
          <w:lang w:val="en-US"/>
        </w:rPr>
        <w:t xml:space="preserve">A </w:t>
      </w:r>
      <w:r w:rsidR="005D603F">
        <w:rPr>
          <w:color w:val="auto"/>
          <w:sz w:val="22"/>
          <w:szCs w:val="22"/>
          <w:lang w:val="en-US"/>
        </w:rPr>
        <w:t>D</w:t>
      </w:r>
      <w:r>
        <w:rPr>
          <w:color w:val="auto"/>
          <w:sz w:val="22"/>
          <w:szCs w:val="22"/>
          <w:lang w:val="en-US"/>
        </w:rPr>
        <w:t xml:space="preserve">anish version of the act can be found at </w:t>
      </w:r>
      <w:hyperlink r:id="rId20" w:history="1">
        <w:r w:rsidRPr="00BE418E">
          <w:rPr>
            <w:rStyle w:val="Hyperlink"/>
            <w:sz w:val="22"/>
            <w:szCs w:val="22"/>
            <w:lang w:val="en-US"/>
          </w:rPr>
          <w:t>https://www.retsinformation.dk/eli/lta/2021/751</w:t>
        </w:r>
      </w:hyperlink>
      <w:r>
        <w:rPr>
          <w:color w:val="auto"/>
          <w:sz w:val="22"/>
          <w:szCs w:val="22"/>
          <w:lang w:val="en-US"/>
        </w:rPr>
        <w:t xml:space="preserve">. </w:t>
      </w:r>
    </w:p>
    <w:p w14:paraId="3EE7F0CD" w14:textId="77777777" w:rsidR="005F417A" w:rsidRPr="00F5359B" w:rsidRDefault="005F417A" w:rsidP="005F417A">
      <w:pPr>
        <w:pStyle w:val="Default"/>
        <w:ind w:left="720"/>
        <w:rPr>
          <w:sz w:val="22"/>
          <w:szCs w:val="22"/>
          <w:highlight w:val="yellow"/>
          <w:lang w:val="en-US"/>
        </w:rPr>
      </w:pPr>
    </w:p>
    <w:p w14:paraId="630DC96E" w14:textId="77777777" w:rsidR="005F417A" w:rsidRDefault="005F417A" w:rsidP="005F417A">
      <w:pPr>
        <w:pStyle w:val="Default"/>
        <w:rPr>
          <w:sz w:val="22"/>
          <w:szCs w:val="22"/>
          <w:lang w:val="en-US"/>
        </w:rPr>
      </w:pPr>
      <w:r>
        <w:rPr>
          <w:sz w:val="22"/>
          <w:szCs w:val="22"/>
          <w:lang w:val="en-US"/>
        </w:rPr>
        <w:t xml:space="preserve">Other </w:t>
      </w:r>
      <w:r w:rsidRPr="00F5359B">
        <w:rPr>
          <w:b/>
          <w:bCs/>
          <w:sz w:val="22"/>
          <w:szCs w:val="22"/>
          <w:lang w:val="en-US"/>
        </w:rPr>
        <w:t xml:space="preserve">Community </w:t>
      </w:r>
      <w:r>
        <w:rPr>
          <w:b/>
          <w:bCs/>
          <w:sz w:val="22"/>
          <w:szCs w:val="22"/>
          <w:lang w:val="en-US"/>
        </w:rPr>
        <w:t>rules and regulations</w:t>
      </w:r>
      <w:r w:rsidRPr="00F5359B">
        <w:rPr>
          <w:b/>
          <w:bCs/>
          <w:sz w:val="22"/>
          <w:szCs w:val="22"/>
          <w:lang w:val="en-US"/>
        </w:rPr>
        <w:t xml:space="preserve"> </w:t>
      </w:r>
      <w:r w:rsidRPr="00F5359B">
        <w:rPr>
          <w:sz w:val="22"/>
          <w:szCs w:val="22"/>
          <w:lang w:val="en-US"/>
        </w:rPr>
        <w:t xml:space="preserve">are available </w:t>
      </w:r>
      <w:r>
        <w:rPr>
          <w:sz w:val="22"/>
          <w:szCs w:val="22"/>
          <w:lang w:val="en-US"/>
        </w:rPr>
        <w:t xml:space="preserve">at </w:t>
      </w:r>
      <w:hyperlink r:id="rId21" w:history="1">
        <w:r w:rsidRPr="00634F7A">
          <w:rPr>
            <w:rStyle w:val="Hyperlink"/>
            <w:sz w:val="22"/>
            <w:szCs w:val="22"/>
            <w:lang w:val="en-US"/>
          </w:rPr>
          <w:t>http://ec.europa.eu/regional_policy/en/information/legislation/regulations/</w:t>
        </w:r>
      </w:hyperlink>
      <w:r>
        <w:rPr>
          <w:sz w:val="22"/>
          <w:szCs w:val="22"/>
          <w:lang w:val="en-US"/>
        </w:rPr>
        <w:t xml:space="preserve"> or directly at EUR-LEX (</w:t>
      </w:r>
      <w:hyperlink r:id="rId22" w:history="1">
        <w:r w:rsidRPr="00BE418E">
          <w:rPr>
            <w:rStyle w:val="Hyperlink"/>
            <w:sz w:val="22"/>
            <w:szCs w:val="22"/>
            <w:lang w:val="en-US"/>
          </w:rPr>
          <w:t>https://eur-lex.europa.eu/homepage.html</w:t>
        </w:r>
      </w:hyperlink>
      <w:r>
        <w:rPr>
          <w:sz w:val="22"/>
          <w:szCs w:val="22"/>
          <w:lang w:val="en-US"/>
        </w:rPr>
        <w:t>).</w:t>
      </w:r>
      <w:r w:rsidRPr="00F5359B">
        <w:rPr>
          <w:sz w:val="22"/>
          <w:szCs w:val="22"/>
          <w:lang w:val="en-US"/>
        </w:rPr>
        <w:t xml:space="preserve"> </w:t>
      </w:r>
    </w:p>
    <w:p w14:paraId="22F55C73" w14:textId="77777777" w:rsidR="005F417A" w:rsidRDefault="005F417A" w:rsidP="005F417A">
      <w:pPr>
        <w:pStyle w:val="Default"/>
        <w:rPr>
          <w:sz w:val="22"/>
          <w:szCs w:val="22"/>
          <w:lang w:val="en-US"/>
        </w:rPr>
      </w:pPr>
    </w:p>
    <w:p w14:paraId="39E8794D" w14:textId="470A16ED" w:rsidR="005F417A" w:rsidRDefault="005F417A" w:rsidP="005F417A">
      <w:pPr>
        <w:pStyle w:val="Default"/>
        <w:rPr>
          <w:sz w:val="22"/>
          <w:szCs w:val="22"/>
          <w:lang w:val="en-US"/>
        </w:rPr>
      </w:pPr>
      <w:r w:rsidRPr="00F5359B">
        <w:rPr>
          <w:sz w:val="22"/>
          <w:szCs w:val="22"/>
          <w:lang w:val="en-US"/>
        </w:rPr>
        <w:t xml:space="preserve">The </w:t>
      </w:r>
      <w:r>
        <w:rPr>
          <w:sz w:val="22"/>
          <w:szCs w:val="22"/>
          <w:lang w:val="en-US"/>
        </w:rPr>
        <w:t xml:space="preserve">relevant </w:t>
      </w:r>
      <w:r w:rsidRPr="00F5359B">
        <w:rPr>
          <w:b/>
          <w:bCs/>
          <w:sz w:val="22"/>
          <w:szCs w:val="22"/>
          <w:lang w:val="en-US"/>
        </w:rPr>
        <w:t xml:space="preserve">Programme rules </w:t>
      </w:r>
      <w:r w:rsidRPr="00F5359B">
        <w:rPr>
          <w:sz w:val="22"/>
          <w:szCs w:val="22"/>
          <w:lang w:val="en-US"/>
        </w:rPr>
        <w:t>of the</w:t>
      </w:r>
      <w:r w:rsidR="009D433E">
        <w:rPr>
          <w:sz w:val="22"/>
          <w:szCs w:val="22"/>
          <w:lang w:val="en-US"/>
        </w:rPr>
        <w:t xml:space="preserve"> </w:t>
      </w:r>
      <w:r w:rsidR="009D433E" w:rsidRPr="005D603F">
        <w:rPr>
          <w:b/>
          <w:bCs/>
          <w:sz w:val="22"/>
          <w:szCs w:val="22"/>
          <w:lang w:val="en-US"/>
        </w:rPr>
        <w:t>Interreg</w:t>
      </w:r>
      <w:r w:rsidRPr="005D603F">
        <w:rPr>
          <w:b/>
          <w:bCs/>
          <w:sz w:val="22"/>
          <w:szCs w:val="22"/>
          <w:lang w:val="en-US"/>
        </w:rPr>
        <w:t xml:space="preserve"> </w:t>
      </w:r>
      <w:r w:rsidR="005D603F" w:rsidRPr="005D603F">
        <w:rPr>
          <w:b/>
          <w:bCs/>
          <w:sz w:val="22"/>
          <w:szCs w:val="22"/>
          <w:lang w:val="en-US"/>
        </w:rPr>
        <w:t>Europe</w:t>
      </w:r>
      <w:r w:rsidRPr="005D603F">
        <w:rPr>
          <w:b/>
          <w:bCs/>
          <w:sz w:val="22"/>
          <w:szCs w:val="22"/>
          <w:lang w:val="en-US"/>
        </w:rPr>
        <w:t xml:space="preserve"> 2021-20</w:t>
      </w:r>
      <w:r w:rsidR="005D603F" w:rsidRPr="005D603F">
        <w:rPr>
          <w:b/>
          <w:bCs/>
          <w:sz w:val="22"/>
          <w:szCs w:val="22"/>
          <w:lang w:val="en-US"/>
        </w:rPr>
        <w:t>2</w:t>
      </w:r>
      <w:r w:rsidRPr="005D603F">
        <w:rPr>
          <w:b/>
          <w:bCs/>
          <w:sz w:val="22"/>
          <w:szCs w:val="22"/>
          <w:lang w:val="en-US"/>
        </w:rPr>
        <w:t>7</w:t>
      </w:r>
      <w:r>
        <w:rPr>
          <w:sz w:val="22"/>
          <w:szCs w:val="22"/>
          <w:lang w:val="en-US"/>
        </w:rPr>
        <w:t xml:space="preserve">, namely </w:t>
      </w:r>
      <w:r w:rsidRPr="00F5359B">
        <w:rPr>
          <w:sz w:val="22"/>
          <w:szCs w:val="22"/>
          <w:lang w:val="en-US"/>
        </w:rPr>
        <w:t xml:space="preserve">the Programme </w:t>
      </w:r>
      <w:r>
        <w:rPr>
          <w:sz w:val="22"/>
          <w:szCs w:val="22"/>
          <w:lang w:val="en-US"/>
        </w:rPr>
        <w:t xml:space="preserve">itself </w:t>
      </w:r>
      <w:r w:rsidRPr="00F5359B">
        <w:rPr>
          <w:sz w:val="22"/>
          <w:szCs w:val="22"/>
          <w:lang w:val="en-US"/>
        </w:rPr>
        <w:t xml:space="preserve">and the </w:t>
      </w:r>
      <w:r w:rsidR="005D603F">
        <w:rPr>
          <w:sz w:val="22"/>
          <w:szCs w:val="22"/>
          <w:lang w:val="en-US"/>
        </w:rPr>
        <w:t>Programme Manual</w:t>
      </w:r>
      <w:r>
        <w:rPr>
          <w:sz w:val="22"/>
          <w:szCs w:val="22"/>
          <w:lang w:val="en-US"/>
        </w:rPr>
        <w:t>,</w:t>
      </w:r>
      <w:r w:rsidRPr="00F5359B">
        <w:rPr>
          <w:sz w:val="22"/>
          <w:szCs w:val="22"/>
          <w:lang w:val="en-US"/>
        </w:rPr>
        <w:t xml:space="preserve"> are available</w:t>
      </w:r>
      <w:r>
        <w:rPr>
          <w:sz w:val="22"/>
          <w:szCs w:val="22"/>
          <w:lang w:val="en-US"/>
        </w:rPr>
        <w:t xml:space="preserve"> at</w:t>
      </w:r>
      <w:r w:rsidRPr="00F5359B">
        <w:rPr>
          <w:sz w:val="22"/>
          <w:szCs w:val="22"/>
          <w:lang w:val="en-US"/>
        </w:rPr>
        <w:t xml:space="preserve"> </w:t>
      </w:r>
      <w:r>
        <w:rPr>
          <w:sz w:val="22"/>
          <w:szCs w:val="22"/>
          <w:lang w:val="en-US"/>
        </w:rPr>
        <w:t>the programme website</w:t>
      </w:r>
      <w:r w:rsidR="00D520D3">
        <w:rPr>
          <w:sz w:val="22"/>
          <w:szCs w:val="22"/>
          <w:lang w:val="en-US"/>
        </w:rPr>
        <w:t xml:space="preserve"> </w:t>
      </w:r>
      <w:hyperlink r:id="rId23" w:history="1">
        <w:r w:rsidR="00D520D3" w:rsidRPr="003D6624">
          <w:rPr>
            <w:rStyle w:val="Hyperlink"/>
            <w:sz w:val="22"/>
            <w:szCs w:val="22"/>
            <w:lang w:val="en-US"/>
          </w:rPr>
          <w:t>https://www.interregeurope.eu/#</w:t>
        </w:r>
      </w:hyperlink>
      <w:r w:rsidR="00D520D3">
        <w:rPr>
          <w:sz w:val="22"/>
          <w:szCs w:val="22"/>
          <w:lang w:val="en-US"/>
        </w:rPr>
        <w:t xml:space="preserve"> </w:t>
      </w:r>
      <w:r>
        <w:rPr>
          <w:sz w:val="22"/>
          <w:szCs w:val="22"/>
          <w:lang w:val="en-US"/>
        </w:rPr>
        <w:t>.</w:t>
      </w:r>
      <w:r w:rsidRPr="00F5359B">
        <w:rPr>
          <w:sz w:val="22"/>
          <w:szCs w:val="22"/>
          <w:lang w:val="en-US"/>
        </w:rPr>
        <w:t xml:space="preserve"> </w:t>
      </w:r>
    </w:p>
    <w:p w14:paraId="26824A6D" w14:textId="77777777" w:rsidR="005F417A" w:rsidRPr="00F5359B" w:rsidRDefault="005F417A" w:rsidP="005F417A">
      <w:pPr>
        <w:pStyle w:val="Default"/>
        <w:rPr>
          <w:sz w:val="22"/>
          <w:szCs w:val="22"/>
          <w:lang w:val="en-US"/>
        </w:rPr>
      </w:pPr>
    </w:p>
    <w:p w14:paraId="6F6E0E10" w14:textId="1B00AEB7" w:rsidR="005F417A" w:rsidRPr="00F62155" w:rsidRDefault="005F417A" w:rsidP="005F417A">
      <w:pPr>
        <w:pStyle w:val="BodyText"/>
        <w:rPr>
          <w:lang w:val="en-US"/>
        </w:rPr>
      </w:pPr>
      <w:r>
        <w:t xml:space="preserve">If you need further information do not hesitate to contact the Danish Business Authority at +45 35 29 17 00 or via e-mail </w:t>
      </w:r>
      <w:hyperlink r:id="rId24">
        <w:r w:rsidR="009C56F5" w:rsidRPr="184263CE">
          <w:rPr>
            <w:rStyle w:val="Hyperlink"/>
          </w:rPr>
          <w:t>de@erst.dk</w:t>
        </w:r>
      </w:hyperlink>
      <w:r>
        <w:t xml:space="preserve">. </w:t>
      </w:r>
      <w:r w:rsidRPr="00F62155">
        <w:rPr>
          <w:lang w:val="en-US"/>
        </w:rPr>
        <w:t xml:space="preserve">Please specify that your inquiry is related to </w:t>
      </w:r>
      <w:r w:rsidRPr="005D603F">
        <w:rPr>
          <w:b/>
          <w:bCs/>
          <w:lang w:val="en-US"/>
        </w:rPr>
        <w:t xml:space="preserve">Interreg </w:t>
      </w:r>
      <w:r w:rsidR="005D603F" w:rsidRPr="005D603F">
        <w:rPr>
          <w:b/>
          <w:bCs/>
          <w:lang w:val="en-US"/>
        </w:rPr>
        <w:t>Europe</w:t>
      </w:r>
      <w:r w:rsidRPr="005D603F">
        <w:rPr>
          <w:b/>
          <w:bCs/>
          <w:lang w:val="en-US"/>
        </w:rPr>
        <w:t xml:space="preserve"> 2021-2027</w:t>
      </w:r>
      <w:r w:rsidRPr="00F62155">
        <w:rPr>
          <w:lang w:val="en-US"/>
        </w:rPr>
        <w:t>.</w:t>
      </w:r>
    </w:p>
    <w:p w14:paraId="6C1E6D2D" w14:textId="77777777" w:rsidR="005F417A" w:rsidRPr="00F62155" w:rsidRDefault="005F417A" w:rsidP="005F417A">
      <w:pPr>
        <w:pStyle w:val="BodyText"/>
        <w:rPr>
          <w:lang w:val="en-US"/>
        </w:rPr>
      </w:pPr>
    </w:p>
    <w:p w14:paraId="1E94BEC3" w14:textId="77777777" w:rsidR="00982A0A" w:rsidRDefault="00982A0A">
      <w:pPr>
        <w:pStyle w:val="BodyText"/>
      </w:pPr>
    </w:p>
    <w:sectPr w:rsidR="00982A0A" w:rsidSect="00EF6F37">
      <w:headerReference w:type="default" r:id="rId25"/>
      <w:headerReference w:type="first" r:id="rId26"/>
      <w:pgSz w:w="11906" w:h="16838" w:code="9"/>
      <w:pgMar w:top="2098" w:right="3742" w:bottom="851" w:left="1134" w:header="624" w:footer="567" w:gutter="0"/>
      <w:paperSrc w:first="15" w:other="15"/>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7D295" w14:textId="77777777" w:rsidR="00E800FD" w:rsidRDefault="00E800FD">
      <w:pPr>
        <w:spacing w:line="240" w:lineRule="auto"/>
      </w:pPr>
      <w:r>
        <w:separator/>
      </w:r>
    </w:p>
  </w:endnote>
  <w:endnote w:type="continuationSeparator" w:id="0">
    <w:p w14:paraId="6B42EE3A" w14:textId="77777777" w:rsidR="00E800FD" w:rsidRDefault="00E800FD">
      <w:pPr>
        <w:spacing w:line="240" w:lineRule="auto"/>
      </w:pPr>
      <w:r>
        <w:continuationSeparator/>
      </w:r>
    </w:p>
  </w:endnote>
  <w:endnote w:type="continuationNotice" w:id="1">
    <w:p w14:paraId="5CEC00E6" w14:textId="77777777" w:rsidR="00E800FD" w:rsidRDefault="00E800F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BCC3A" w14:textId="77777777" w:rsidR="00E800FD" w:rsidRDefault="00E800FD">
      <w:pPr>
        <w:spacing w:line="240" w:lineRule="auto"/>
      </w:pPr>
      <w:r>
        <w:separator/>
      </w:r>
    </w:p>
  </w:footnote>
  <w:footnote w:type="continuationSeparator" w:id="0">
    <w:p w14:paraId="478FCD2B" w14:textId="77777777" w:rsidR="00E800FD" w:rsidRDefault="00E800FD">
      <w:pPr>
        <w:spacing w:line="240" w:lineRule="auto"/>
      </w:pPr>
      <w:r>
        <w:continuationSeparator/>
      </w:r>
    </w:p>
  </w:footnote>
  <w:footnote w:type="continuationNotice" w:id="1">
    <w:p w14:paraId="1D81EDA0" w14:textId="77777777" w:rsidR="00E800FD" w:rsidRDefault="00E800FD">
      <w:pPr>
        <w:spacing w:line="240" w:lineRule="auto"/>
      </w:pPr>
    </w:p>
  </w:footnote>
  <w:footnote w:id="2">
    <w:p w14:paraId="38D5E45A" w14:textId="77777777" w:rsidR="00E72DAE" w:rsidRPr="007531FF" w:rsidRDefault="00E72DAE" w:rsidP="00E72DAE">
      <w:pPr>
        <w:pStyle w:val="FootnoteText"/>
        <w:rPr>
          <w:lang w:val="en-US"/>
        </w:rPr>
      </w:pPr>
      <w:r>
        <w:rPr>
          <w:rStyle w:val="FootnoteReference"/>
        </w:rPr>
        <w:footnoteRef/>
      </w:r>
      <w:r w:rsidRPr="00D84E8D">
        <w:rPr>
          <w:lang w:val="en-US"/>
        </w:rPr>
        <w:t xml:space="preserve"> </w:t>
      </w:r>
      <w:r>
        <w:rPr>
          <w:lang w:val="en-US"/>
        </w:rPr>
        <w:t>R</w:t>
      </w:r>
      <w:r w:rsidRPr="007531FF">
        <w:rPr>
          <w:lang w:val="en-US"/>
        </w:rPr>
        <w:t>egulation (EU) 2021/10</w:t>
      </w:r>
      <w:r>
        <w:rPr>
          <w:lang w:val="en-US"/>
        </w:rPr>
        <w:t>60</w:t>
      </w:r>
      <w:r w:rsidRPr="007531FF">
        <w:rPr>
          <w:lang w:val="en-US"/>
        </w:rPr>
        <w:t xml:space="preserve"> of the European Parliament and of the Council of 24 June 2021 laying down</w:t>
      </w:r>
      <w:r>
        <w:rPr>
          <w:lang w:val="en-US"/>
        </w:rPr>
        <w:t xml:space="preserve"> co</w:t>
      </w:r>
      <w:r w:rsidRPr="00D84E8D">
        <w:rPr>
          <w:lang w:val="en-US"/>
        </w:rPr>
        <w:t>mmon provisions on the European Regional Development Fund, the European Social</w:t>
      </w:r>
      <w:r>
        <w:rPr>
          <w:lang w:val="en-US"/>
        </w:rPr>
        <w:t xml:space="preserve"> </w:t>
      </w:r>
      <w:r w:rsidRPr="00D84E8D">
        <w:rPr>
          <w:lang w:val="en-US"/>
        </w:rPr>
        <w:t>Fund Plus, the Cohesion Fund, the Just Transition Fund and the European Maritime, Fisheries and</w:t>
      </w:r>
      <w:r>
        <w:rPr>
          <w:lang w:val="en-US"/>
        </w:rPr>
        <w:t xml:space="preserve"> </w:t>
      </w:r>
      <w:r w:rsidRPr="00D84E8D">
        <w:rPr>
          <w:lang w:val="en-US"/>
        </w:rPr>
        <w:t>Aquaculture Fund and financial rules for those and for the Asylum, Migration and Integration Fund,</w:t>
      </w:r>
      <w:r>
        <w:rPr>
          <w:lang w:val="en-US"/>
        </w:rPr>
        <w:t xml:space="preserve"> </w:t>
      </w:r>
      <w:r w:rsidRPr="00D84E8D">
        <w:rPr>
          <w:lang w:val="en-US"/>
        </w:rPr>
        <w:t>the Internal Security Fund and the Instrument for Financial Support for Border Management and</w:t>
      </w:r>
      <w:r>
        <w:rPr>
          <w:lang w:val="en-US"/>
        </w:rPr>
        <w:t xml:space="preserve"> </w:t>
      </w:r>
      <w:r w:rsidRPr="007531FF">
        <w:rPr>
          <w:lang w:val="en-US"/>
        </w:rPr>
        <w:t>Visa Policy.</w:t>
      </w:r>
    </w:p>
  </w:footnote>
  <w:footnote w:id="3">
    <w:p w14:paraId="00A61542" w14:textId="77777777" w:rsidR="00E72DAE" w:rsidRPr="008D7A62" w:rsidRDefault="00E72DAE" w:rsidP="00E72DAE">
      <w:pPr>
        <w:pStyle w:val="FootnoteText"/>
        <w:rPr>
          <w:lang w:val="en-US"/>
        </w:rPr>
      </w:pPr>
      <w:r>
        <w:rPr>
          <w:rStyle w:val="FootnoteReference"/>
        </w:rPr>
        <w:footnoteRef/>
      </w:r>
      <w:r w:rsidRPr="008D7A62">
        <w:rPr>
          <w:lang w:val="en-US"/>
        </w:rPr>
        <w:t xml:space="preserve"> Regulation (EU) 2021/1058 of the European Parliament and of the Council of 24 June 2021 on the European Regional Development Fund and on the Cohesion Fund.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2D175" w14:textId="77777777" w:rsidR="00982A0A" w:rsidRDefault="00982A0A">
    <w:pPr>
      <w:framePr w:w="1531" w:h="851" w:wrap="around" w:vAnchor="page" w:hAnchor="page" w:x="9186" w:y="721"/>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34CE5">
      <w:rPr>
        <w:rStyle w:val="PageNumber"/>
        <w:noProof/>
      </w:rPr>
      <w:t>1</w:t>
    </w:r>
    <w:r>
      <w:rPr>
        <w:rStyle w:val="PageNumber"/>
      </w:rPr>
      <w:fldChar w:fldCharType="end"/>
    </w:r>
  </w:p>
  <w:p w14:paraId="6D5A3DA8" w14:textId="77777777" w:rsidR="00982A0A" w:rsidRDefault="00982A0A">
    <w:pPr>
      <w:framePr w:w="1531" w:h="851" w:wrap="around" w:vAnchor="page" w:hAnchor="page" w:x="9186" w:y="721"/>
    </w:pPr>
  </w:p>
  <w:p w14:paraId="39FC532A" w14:textId="77777777" w:rsidR="00982A0A" w:rsidRDefault="00982A0A">
    <w:pPr>
      <w:framePr w:w="1531" w:h="851" w:wrap="around" w:vAnchor="page" w:hAnchor="page" w:x="9186" w:y="721"/>
    </w:pPr>
  </w:p>
  <w:p w14:paraId="200F32EC" w14:textId="77777777" w:rsidR="00982A0A" w:rsidRDefault="00982A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2494"/>
    </w:tblGrid>
    <w:tr w:rsidR="00982A0A" w:rsidRPr="00652A5F" w14:paraId="5A482B95" w14:textId="77777777">
      <w:trPr>
        <w:trHeight w:val="50"/>
      </w:trPr>
      <w:tc>
        <w:tcPr>
          <w:tcW w:w="2494" w:type="dxa"/>
          <w:tcBorders>
            <w:bottom w:val="nil"/>
          </w:tcBorders>
        </w:tcPr>
        <w:p w14:paraId="635D4EF6" w14:textId="05AD2D32" w:rsidR="00982A0A" w:rsidRPr="00EC4B4C" w:rsidRDefault="00652A5F">
          <w:pPr>
            <w:pStyle w:val="SkaktNormal"/>
            <w:framePr w:wrap="around" w:x="8988" w:y="1475"/>
            <w:rPr>
              <w:lang w:val="en-US"/>
            </w:rPr>
          </w:pPr>
          <w:r>
            <w:rPr>
              <w:lang w:val="en-US"/>
            </w:rPr>
            <w:t>January</w:t>
          </w:r>
          <w:r w:rsidR="00EC4B4C" w:rsidRPr="00EC4B4C">
            <w:rPr>
              <w:lang w:val="en-US"/>
            </w:rPr>
            <w:t>, 202</w:t>
          </w:r>
          <w:r>
            <w:rPr>
              <w:lang w:val="en-US"/>
            </w:rPr>
            <w:t>3</w:t>
          </w:r>
        </w:p>
        <w:p w14:paraId="0DAB2E54" w14:textId="25AA1AA8" w:rsidR="00982A0A" w:rsidRDefault="00982A0A">
          <w:pPr>
            <w:pStyle w:val="SkaktNormal"/>
            <w:framePr w:wrap="around" w:x="8988" w:y="1475"/>
            <w:rPr>
              <w:lang w:val="en-US"/>
            </w:rPr>
          </w:pPr>
          <w:r w:rsidRPr="00B515E8">
            <w:rPr>
              <w:lang w:val="en-US"/>
            </w:rPr>
            <w:t xml:space="preserve">Case </w:t>
          </w:r>
          <w:bookmarkStart w:id="3" w:name="PCAsag"/>
          <w:bookmarkEnd w:id="3"/>
          <w:r w:rsidR="00F5359B" w:rsidRPr="00F5359B">
            <w:rPr>
              <w:lang w:val="en-US"/>
            </w:rPr>
            <w:t>2022-10517</w:t>
          </w:r>
        </w:p>
        <w:p w14:paraId="4D475F55" w14:textId="285009D0" w:rsidR="00982A0A" w:rsidRPr="00B515E8" w:rsidRDefault="00645639">
          <w:pPr>
            <w:pStyle w:val="SkaktNormal"/>
            <w:framePr w:wrap="around" w:x="8988" w:y="1475"/>
            <w:rPr>
              <w:lang w:val="en-US"/>
            </w:rPr>
          </w:pPr>
          <w:r>
            <w:rPr>
              <w:lang w:val="en-US"/>
            </w:rPr>
            <w:t>Version 1</w:t>
          </w:r>
        </w:p>
        <w:p w14:paraId="462122EF" w14:textId="77777777" w:rsidR="00982A0A" w:rsidRPr="00B515E8" w:rsidRDefault="00982A0A">
          <w:pPr>
            <w:pStyle w:val="SkaktNormal"/>
            <w:framePr w:wrap="around" w:x="8988" w:y="1475"/>
            <w:rPr>
              <w:lang w:val="en-US"/>
            </w:rPr>
          </w:pPr>
        </w:p>
        <w:p w14:paraId="0046099D" w14:textId="77777777" w:rsidR="00982A0A" w:rsidRPr="00B515E8" w:rsidRDefault="00982A0A">
          <w:pPr>
            <w:pStyle w:val="SkaktNormal"/>
            <w:framePr w:wrap="around" w:x="8988" w:y="1475"/>
            <w:rPr>
              <w:lang w:val="en-US"/>
            </w:rPr>
          </w:pPr>
        </w:p>
        <w:p w14:paraId="19EB76E6" w14:textId="77777777" w:rsidR="00982A0A" w:rsidRPr="00B515E8" w:rsidRDefault="00982A0A">
          <w:pPr>
            <w:pStyle w:val="SkaktNormal"/>
            <w:framePr w:wrap="around" w:x="8988" w:y="1475"/>
            <w:rPr>
              <w:lang w:val="en-US"/>
            </w:rPr>
          </w:pPr>
        </w:p>
        <w:p w14:paraId="793D0522" w14:textId="77777777" w:rsidR="00982A0A" w:rsidRPr="00B515E8" w:rsidRDefault="00982A0A">
          <w:pPr>
            <w:pStyle w:val="SkaktNormal"/>
            <w:framePr w:wrap="around" w:x="8988" w:y="1475"/>
            <w:rPr>
              <w:lang w:val="en-US"/>
            </w:rPr>
          </w:pPr>
        </w:p>
        <w:p w14:paraId="34FADEAC" w14:textId="77777777" w:rsidR="00982A0A" w:rsidRPr="00B515E8" w:rsidRDefault="00982A0A">
          <w:pPr>
            <w:pStyle w:val="SkaktNormal"/>
            <w:framePr w:wrap="around" w:x="8988" w:y="1475"/>
            <w:rPr>
              <w:lang w:val="en-US"/>
            </w:rPr>
          </w:pPr>
        </w:p>
        <w:p w14:paraId="284FCF75" w14:textId="77777777" w:rsidR="00F5359B" w:rsidRDefault="00F5359B" w:rsidP="004824DB">
          <w:pPr>
            <w:pStyle w:val="skakt-fed"/>
            <w:framePr w:hRule="auto" w:wrap="around" w:x="8988" w:y="1475"/>
            <w:rPr>
              <w:noProof/>
              <w:lang w:val="en-GB"/>
            </w:rPr>
          </w:pPr>
        </w:p>
        <w:p w14:paraId="173D3924" w14:textId="09CD695D" w:rsidR="004824DB" w:rsidRPr="00612E1E" w:rsidRDefault="004824DB" w:rsidP="004824DB">
          <w:pPr>
            <w:pStyle w:val="skakt-fed"/>
            <w:framePr w:hRule="auto" w:wrap="around" w:x="8988" w:y="1475"/>
            <w:rPr>
              <w:noProof/>
              <w:lang w:val="en-GB"/>
            </w:rPr>
          </w:pPr>
          <w:r w:rsidRPr="00612E1E">
            <w:rPr>
              <w:noProof/>
              <w:lang w:val="en-GB"/>
            </w:rPr>
            <w:t>DANISH BUSINES</w:t>
          </w:r>
          <w:r w:rsidR="00612E1E" w:rsidRPr="00612E1E">
            <w:rPr>
              <w:noProof/>
              <w:lang w:val="en-GB"/>
            </w:rPr>
            <w:t>S</w:t>
          </w:r>
          <w:r w:rsidRPr="00612E1E">
            <w:rPr>
              <w:noProof/>
              <w:lang w:val="en-GB"/>
            </w:rPr>
            <w:t xml:space="preserve"> </w:t>
          </w:r>
          <w:r w:rsidRPr="00612E1E">
            <w:rPr>
              <w:rFonts w:ascii="Arial" w:hAnsi="Arial" w:cs="Arial"/>
              <w:noProof/>
              <w:color w:val="000000"/>
              <w:sz w:val="17"/>
              <w:szCs w:val="17"/>
              <w:lang w:val="en-GB"/>
            </w:rPr>
            <w:t xml:space="preserve"> </w:t>
          </w:r>
          <w:r w:rsidRPr="00612E1E">
            <w:rPr>
              <w:noProof/>
              <w:lang w:val="en-GB"/>
            </w:rPr>
            <w:t>AUTHORITY</w:t>
          </w:r>
        </w:p>
        <w:p w14:paraId="22C5C696" w14:textId="77777777" w:rsidR="004824DB" w:rsidRPr="00612E1E" w:rsidRDefault="004824DB" w:rsidP="004824DB">
          <w:pPr>
            <w:pStyle w:val="skakt-fed"/>
            <w:framePr w:hRule="auto" w:wrap="around" w:x="8988" w:y="1475"/>
            <w:rPr>
              <w:noProof/>
              <w:lang w:val="en-GB"/>
            </w:rPr>
          </w:pPr>
          <w:r w:rsidRPr="00612E1E">
            <w:rPr>
              <w:noProof/>
              <w:lang w:val="en-GB"/>
            </w:rPr>
            <w:t xml:space="preserve"> </w:t>
          </w:r>
        </w:p>
        <w:p w14:paraId="18603E4A" w14:textId="77777777" w:rsidR="004824DB" w:rsidRPr="00EC4B4C" w:rsidRDefault="004824DB" w:rsidP="004824DB">
          <w:pPr>
            <w:pStyle w:val="skakt"/>
            <w:framePr w:w="0" w:hRule="auto" w:hSpace="142" w:wrap="around" w:vAnchor="text" w:hAnchor="text" w:x="8988" w:y="1475"/>
            <w:tabs>
              <w:tab w:val="left" w:pos="870"/>
            </w:tabs>
            <w:rPr>
              <w:noProof/>
              <w:sz w:val="16"/>
              <w:szCs w:val="16"/>
            </w:rPr>
          </w:pPr>
          <w:r w:rsidRPr="00EC4B4C">
            <w:rPr>
              <w:noProof/>
              <w:sz w:val="16"/>
              <w:szCs w:val="16"/>
            </w:rPr>
            <w:t>Vejlsøvej 29</w:t>
          </w:r>
        </w:p>
        <w:p w14:paraId="3F424F89" w14:textId="77777777" w:rsidR="004824DB" w:rsidRPr="00EC4B4C" w:rsidRDefault="004824DB" w:rsidP="004824DB">
          <w:pPr>
            <w:pStyle w:val="skakt"/>
            <w:framePr w:w="0" w:hRule="auto" w:hSpace="142" w:wrap="around" w:vAnchor="text" w:hAnchor="text" w:x="8988" w:y="1475"/>
            <w:tabs>
              <w:tab w:val="left" w:pos="870"/>
            </w:tabs>
            <w:rPr>
              <w:noProof/>
              <w:sz w:val="16"/>
              <w:szCs w:val="16"/>
            </w:rPr>
          </w:pPr>
          <w:r w:rsidRPr="00EC4B4C">
            <w:rPr>
              <w:noProof/>
              <w:sz w:val="16"/>
              <w:szCs w:val="16"/>
            </w:rPr>
            <w:t>DK-8600 Silkeborg</w:t>
          </w:r>
        </w:p>
        <w:p w14:paraId="6DF20C84" w14:textId="77777777" w:rsidR="004824DB" w:rsidRPr="00EC4B4C" w:rsidRDefault="004824DB" w:rsidP="004824DB">
          <w:pPr>
            <w:pStyle w:val="skakt"/>
            <w:framePr w:w="0" w:hRule="auto" w:hSpace="142" w:wrap="around" w:vAnchor="text" w:hAnchor="text" w:x="8988" w:y="1475"/>
            <w:tabs>
              <w:tab w:val="left" w:pos="870"/>
            </w:tabs>
            <w:rPr>
              <w:noProof/>
              <w:sz w:val="16"/>
              <w:szCs w:val="16"/>
            </w:rPr>
          </w:pPr>
          <w:r w:rsidRPr="00EC4B4C">
            <w:rPr>
              <w:noProof/>
              <w:sz w:val="16"/>
              <w:szCs w:val="16"/>
            </w:rPr>
            <w:t>Denmark</w:t>
          </w:r>
        </w:p>
        <w:p w14:paraId="79D7044F" w14:textId="77777777" w:rsidR="004824DB" w:rsidRPr="00EC4B4C" w:rsidRDefault="004824DB" w:rsidP="004824DB">
          <w:pPr>
            <w:pStyle w:val="skakt"/>
            <w:framePr w:w="0" w:hRule="auto" w:hSpace="142" w:wrap="around" w:vAnchor="text" w:hAnchor="text" w:x="8988" w:y="1475"/>
            <w:tabs>
              <w:tab w:val="left" w:pos="870"/>
            </w:tabs>
            <w:rPr>
              <w:noProof/>
            </w:rPr>
          </w:pPr>
        </w:p>
        <w:p w14:paraId="48CD3B51" w14:textId="77777777" w:rsidR="00612E1E" w:rsidRPr="00612E1E" w:rsidRDefault="00612E1E" w:rsidP="00612E1E">
          <w:pPr>
            <w:pStyle w:val="SkaktNormal"/>
            <w:framePr w:wrap="around" w:x="8988" w:y="1475"/>
            <w:rPr>
              <w:rFonts w:cs="Arial"/>
              <w:szCs w:val="16"/>
              <w:lang w:val="en-GB"/>
            </w:rPr>
          </w:pPr>
          <w:r w:rsidRPr="00EC4B4C">
            <w:rPr>
              <w:rFonts w:cs="Arial"/>
              <w:szCs w:val="16"/>
            </w:rPr>
            <w:t xml:space="preserve">Tlf.         </w:t>
          </w:r>
          <w:r w:rsidRPr="00612E1E">
            <w:rPr>
              <w:rFonts w:cs="Arial"/>
              <w:szCs w:val="16"/>
              <w:lang w:val="en-GB"/>
            </w:rPr>
            <w:t>+ 45 35 29 17 00</w:t>
          </w:r>
        </w:p>
        <w:p w14:paraId="04696C92" w14:textId="77777777" w:rsidR="00612E1E" w:rsidRPr="00612E1E" w:rsidRDefault="00612E1E" w:rsidP="00612E1E">
          <w:pPr>
            <w:pStyle w:val="SkaktNormal"/>
            <w:framePr w:wrap="around" w:x="8988" w:y="1475"/>
            <w:rPr>
              <w:rFonts w:cs="Arial"/>
              <w:szCs w:val="16"/>
              <w:lang w:val="en-GB"/>
            </w:rPr>
          </w:pPr>
          <w:r w:rsidRPr="00612E1E">
            <w:rPr>
              <w:rFonts w:cs="Arial"/>
              <w:szCs w:val="16"/>
              <w:lang w:val="en-GB"/>
            </w:rPr>
            <w:t>CVR-nr  10 15 08 17</w:t>
          </w:r>
        </w:p>
        <w:p w14:paraId="5B76BDDB" w14:textId="77777777" w:rsidR="00612E1E" w:rsidRPr="00612E1E" w:rsidRDefault="00612E1E" w:rsidP="00612E1E">
          <w:pPr>
            <w:pStyle w:val="SkaktNormal"/>
            <w:framePr w:wrap="around" w:x="8988" w:y="1475"/>
            <w:rPr>
              <w:rFonts w:cs="Arial"/>
              <w:szCs w:val="16"/>
              <w:lang w:val="en-GB"/>
            </w:rPr>
          </w:pPr>
          <w:r w:rsidRPr="00612E1E">
            <w:rPr>
              <w:rFonts w:cs="Arial"/>
              <w:szCs w:val="16"/>
              <w:lang w:val="en-GB"/>
            </w:rPr>
            <w:t>E-post    de@erst.dk</w:t>
          </w:r>
        </w:p>
        <w:p w14:paraId="755E69D3" w14:textId="77777777" w:rsidR="00612E1E" w:rsidRPr="00612E1E" w:rsidRDefault="00612E1E" w:rsidP="00612E1E">
          <w:pPr>
            <w:pStyle w:val="SkaktNormal"/>
            <w:framePr w:wrap="around" w:x="8988" w:y="1475"/>
            <w:rPr>
              <w:rFonts w:cs="Arial"/>
              <w:szCs w:val="16"/>
              <w:lang w:val="en-GB"/>
            </w:rPr>
          </w:pPr>
          <w:r w:rsidRPr="00612E1E">
            <w:rPr>
              <w:rFonts w:cs="Arial"/>
              <w:szCs w:val="16"/>
              <w:lang w:val="en-GB"/>
            </w:rPr>
            <w:t>www.erst.dk</w:t>
          </w:r>
        </w:p>
        <w:p w14:paraId="420EB9BD" w14:textId="77777777" w:rsidR="00982A0A" w:rsidRPr="00612E1E" w:rsidRDefault="00982A0A">
          <w:pPr>
            <w:pStyle w:val="SkaktBlankLinje"/>
            <w:framePr w:wrap="around" w:x="8988" w:y="1475"/>
            <w:rPr>
              <w:lang w:val="en-GB"/>
            </w:rPr>
          </w:pPr>
        </w:p>
        <w:p w14:paraId="49F86BB0" w14:textId="77777777" w:rsidR="00982A0A" w:rsidRDefault="006F38F2">
          <w:pPr>
            <w:pStyle w:val="skaktfedlille"/>
            <w:framePr w:hSpace="142" w:wrap="around" w:vAnchor="text" w:hAnchor="page" w:x="8988" w:y="1475" w:anchorLock="1"/>
            <w:rPr>
              <w:rFonts w:ascii="Arial" w:hAnsi="Arial"/>
              <w:noProof/>
              <w:spacing w:val="-8"/>
              <w:sz w:val="16"/>
            </w:rPr>
          </w:pPr>
          <w:r w:rsidRPr="00612E1E">
            <w:rPr>
              <w:noProof/>
            </w:rPr>
            <w:t xml:space="preserve">MINISTRY OF </w:t>
          </w:r>
          <w:r w:rsidR="00B515E8" w:rsidRPr="00612E1E">
            <w:rPr>
              <w:noProof/>
            </w:rPr>
            <w:t xml:space="preserve">INDUSTRY, </w:t>
          </w:r>
          <w:r w:rsidRPr="00612E1E">
            <w:rPr>
              <w:noProof/>
            </w:rPr>
            <w:t>BUSINESS</w:t>
          </w:r>
          <w:r w:rsidR="00B515E8" w:rsidRPr="00612E1E">
            <w:rPr>
              <w:noProof/>
            </w:rPr>
            <w:t xml:space="preserve"> AND FINANCIAL AFFAIRS</w:t>
          </w:r>
        </w:p>
      </w:tc>
    </w:tr>
  </w:tbl>
  <w:p w14:paraId="1DBCDB82" w14:textId="77777777" w:rsidR="00982A0A" w:rsidRDefault="006F38F2">
    <w:pPr>
      <w:pStyle w:val="Header"/>
      <w:rPr>
        <w:lang w:val="en-GB"/>
      </w:rPr>
    </w:pPr>
    <w:r>
      <w:rPr>
        <w:noProof/>
        <w:lang w:eastAsia="da-DK"/>
      </w:rPr>
      <w:drawing>
        <wp:anchor distT="0" distB="0" distL="114300" distR="114300" simplePos="0" relativeHeight="251658240" behindDoc="1" locked="0" layoutInCell="1" allowOverlap="1" wp14:anchorId="2000F47E" wp14:editId="5FB03A5F">
          <wp:simplePos x="0" y="0"/>
          <wp:positionH relativeFrom="column">
            <wp:posOffset>1994535</wp:posOffset>
          </wp:positionH>
          <wp:positionV relativeFrom="paragraph">
            <wp:posOffset>-62865</wp:posOffset>
          </wp:positionV>
          <wp:extent cx="1986280" cy="470535"/>
          <wp:effectExtent l="0" t="0" r="0" b="5715"/>
          <wp:wrapThrough wrapText="bothSides">
            <wp:wrapPolygon edited="0">
              <wp:start x="0" y="0"/>
              <wp:lineTo x="0" y="20988"/>
              <wp:lineTo x="21338" y="20988"/>
              <wp:lineTo x="21338" y="0"/>
              <wp:lineTo x="0" y="0"/>
            </wp:wrapPolygon>
          </wp:wrapThrough>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280" cy="4705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6765CF"/>
    <w:multiLevelType w:val="hybridMultilevel"/>
    <w:tmpl w:val="3A396C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FE5490"/>
    <w:multiLevelType w:val="hybridMultilevel"/>
    <w:tmpl w:val="90110F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8018CD"/>
    <w:multiLevelType w:val="hybridMultilevel"/>
    <w:tmpl w:val="C9F833D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64E132D"/>
    <w:multiLevelType w:val="hybridMultilevel"/>
    <w:tmpl w:val="3F86BA8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7FF2F67"/>
    <w:multiLevelType w:val="hybridMultilevel"/>
    <w:tmpl w:val="E78F8A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7740085"/>
    <w:multiLevelType w:val="hybridMultilevel"/>
    <w:tmpl w:val="68109C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7842BAA"/>
    <w:multiLevelType w:val="singleLevel"/>
    <w:tmpl w:val="F70055E2"/>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A8C593C"/>
    <w:multiLevelType w:val="hybridMultilevel"/>
    <w:tmpl w:val="EF3692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30037754">
    <w:abstractNumId w:val="6"/>
  </w:num>
  <w:num w:numId="2" w16cid:durableId="1253587279">
    <w:abstractNumId w:val="0"/>
  </w:num>
  <w:num w:numId="3" w16cid:durableId="821586049">
    <w:abstractNumId w:val="1"/>
  </w:num>
  <w:num w:numId="4" w16cid:durableId="12075230">
    <w:abstractNumId w:val="4"/>
  </w:num>
  <w:num w:numId="5" w16cid:durableId="1062488565">
    <w:abstractNumId w:val="3"/>
  </w:num>
  <w:num w:numId="6" w16cid:durableId="1413358134">
    <w:abstractNumId w:val="2"/>
  </w:num>
  <w:num w:numId="7" w16cid:durableId="122846976">
    <w:abstractNumId w:val="5"/>
  </w:num>
  <w:num w:numId="8" w16cid:durableId="2257996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4C"/>
    <w:rsid w:val="0000186A"/>
    <w:rsid w:val="00001E4A"/>
    <w:rsid w:val="000D6C8A"/>
    <w:rsid w:val="00103C37"/>
    <w:rsid w:val="00131097"/>
    <w:rsid w:val="001310C7"/>
    <w:rsid w:val="00190B4A"/>
    <w:rsid w:val="00192C26"/>
    <w:rsid w:val="001B4CD7"/>
    <w:rsid w:val="001E53FD"/>
    <w:rsid w:val="001E717E"/>
    <w:rsid w:val="001F4BFF"/>
    <w:rsid w:val="001F54CC"/>
    <w:rsid w:val="00232612"/>
    <w:rsid w:val="00254991"/>
    <w:rsid w:val="002932C2"/>
    <w:rsid w:val="002A3C8B"/>
    <w:rsid w:val="002A41BC"/>
    <w:rsid w:val="002B7656"/>
    <w:rsid w:val="002C063E"/>
    <w:rsid w:val="002E5A80"/>
    <w:rsid w:val="002E7038"/>
    <w:rsid w:val="00325452"/>
    <w:rsid w:val="00336225"/>
    <w:rsid w:val="003401B1"/>
    <w:rsid w:val="0038215C"/>
    <w:rsid w:val="003A6059"/>
    <w:rsid w:val="003A677C"/>
    <w:rsid w:val="003B2EA3"/>
    <w:rsid w:val="00407ECE"/>
    <w:rsid w:val="0041249D"/>
    <w:rsid w:val="0043C2FB"/>
    <w:rsid w:val="00473C03"/>
    <w:rsid w:val="004824DB"/>
    <w:rsid w:val="004868A5"/>
    <w:rsid w:val="00494295"/>
    <w:rsid w:val="004A4B4A"/>
    <w:rsid w:val="004B7449"/>
    <w:rsid w:val="004C38D2"/>
    <w:rsid w:val="005020FD"/>
    <w:rsid w:val="00502CC0"/>
    <w:rsid w:val="005134E5"/>
    <w:rsid w:val="00514A22"/>
    <w:rsid w:val="00524B79"/>
    <w:rsid w:val="005A1218"/>
    <w:rsid w:val="005B25E7"/>
    <w:rsid w:val="005B6554"/>
    <w:rsid w:val="005D4D8B"/>
    <w:rsid w:val="005D603F"/>
    <w:rsid w:val="005F417A"/>
    <w:rsid w:val="00612E1E"/>
    <w:rsid w:val="006177F7"/>
    <w:rsid w:val="00631C6F"/>
    <w:rsid w:val="006455D3"/>
    <w:rsid w:val="00645639"/>
    <w:rsid w:val="00652A5F"/>
    <w:rsid w:val="006752B5"/>
    <w:rsid w:val="006A1786"/>
    <w:rsid w:val="006A64C8"/>
    <w:rsid w:val="006D5B2D"/>
    <w:rsid w:val="006F38F2"/>
    <w:rsid w:val="007206F7"/>
    <w:rsid w:val="00722AFC"/>
    <w:rsid w:val="007537F5"/>
    <w:rsid w:val="00757CA7"/>
    <w:rsid w:val="007905C2"/>
    <w:rsid w:val="00792D6B"/>
    <w:rsid w:val="0079694F"/>
    <w:rsid w:val="007C728A"/>
    <w:rsid w:val="00822A26"/>
    <w:rsid w:val="00836C68"/>
    <w:rsid w:val="0085248A"/>
    <w:rsid w:val="00867052"/>
    <w:rsid w:val="00893ADB"/>
    <w:rsid w:val="008B0A23"/>
    <w:rsid w:val="008B24AE"/>
    <w:rsid w:val="008B5896"/>
    <w:rsid w:val="008E1BBF"/>
    <w:rsid w:val="008E26BC"/>
    <w:rsid w:val="009007FD"/>
    <w:rsid w:val="009133FA"/>
    <w:rsid w:val="00926A55"/>
    <w:rsid w:val="00934CE5"/>
    <w:rsid w:val="00971095"/>
    <w:rsid w:val="00973532"/>
    <w:rsid w:val="00982A0A"/>
    <w:rsid w:val="00997839"/>
    <w:rsid w:val="009A0D39"/>
    <w:rsid w:val="009B3C53"/>
    <w:rsid w:val="009C56F5"/>
    <w:rsid w:val="009C7C06"/>
    <w:rsid w:val="009D433E"/>
    <w:rsid w:val="009E05F7"/>
    <w:rsid w:val="009F6F1F"/>
    <w:rsid w:val="00A16C23"/>
    <w:rsid w:val="00A922E8"/>
    <w:rsid w:val="00A93AB6"/>
    <w:rsid w:val="00AA2EA7"/>
    <w:rsid w:val="00AB0576"/>
    <w:rsid w:val="00AC5490"/>
    <w:rsid w:val="00AD6558"/>
    <w:rsid w:val="00AF5B4C"/>
    <w:rsid w:val="00B03568"/>
    <w:rsid w:val="00B128EF"/>
    <w:rsid w:val="00B13F57"/>
    <w:rsid w:val="00B515E8"/>
    <w:rsid w:val="00BB60F6"/>
    <w:rsid w:val="00BE14DE"/>
    <w:rsid w:val="00BE41D4"/>
    <w:rsid w:val="00BF0FFB"/>
    <w:rsid w:val="00C327EF"/>
    <w:rsid w:val="00C52804"/>
    <w:rsid w:val="00C67D44"/>
    <w:rsid w:val="00C86323"/>
    <w:rsid w:val="00C97E26"/>
    <w:rsid w:val="00CB3B54"/>
    <w:rsid w:val="00CB6296"/>
    <w:rsid w:val="00CD6F8B"/>
    <w:rsid w:val="00D25142"/>
    <w:rsid w:val="00D30C2C"/>
    <w:rsid w:val="00D32BF7"/>
    <w:rsid w:val="00D520D3"/>
    <w:rsid w:val="00DA39D2"/>
    <w:rsid w:val="00DC2772"/>
    <w:rsid w:val="00DE4D32"/>
    <w:rsid w:val="00E11560"/>
    <w:rsid w:val="00E13603"/>
    <w:rsid w:val="00E141A8"/>
    <w:rsid w:val="00E22244"/>
    <w:rsid w:val="00E253D4"/>
    <w:rsid w:val="00E46DA7"/>
    <w:rsid w:val="00E71A68"/>
    <w:rsid w:val="00E72DAE"/>
    <w:rsid w:val="00E800FD"/>
    <w:rsid w:val="00E876AB"/>
    <w:rsid w:val="00EC4B4C"/>
    <w:rsid w:val="00EE0475"/>
    <w:rsid w:val="00EF4545"/>
    <w:rsid w:val="00EF6F37"/>
    <w:rsid w:val="00F03F3D"/>
    <w:rsid w:val="00F104DA"/>
    <w:rsid w:val="00F1207E"/>
    <w:rsid w:val="00F52055"/>
    <w:rsid w:val="00F5359B"/>
    <w:rsid w:val="00F61E51"/>
    <w:rsid w:val="00F66B2B"/>
    <w:rsid w:val="00F67B87"/>
    <w:rsid w:val="00F81469"/>
    <w:rsid w:val="00FC1E27"/>
    <w:rsid w:val="00FF6F6D"/>
    <w:rsid w:val="019D6B74"/>
    <w:rsid w:val="04CAE81C"/>
    <w:rsid w:val="05CE524F"/>
    <w:rsid w:val="0D904FA9"/>
    <w:rsid w:val="0E5F9271"/>
    <w:rsid w:val="136D589D"/>
    <w:rsid w:val="15E3F465"/>
    <w:rsid w:val="184263CE"/>
    <w:rsid w:val="19135BC7"/>
    <w:rsid w:val="20ED5022"/>
    <w:rsid w:val="21773E00"/>
    <w:rsid w:val="28518389"/>
    <w:rsid w:val="2A38A3CD"/>
    <w:rsid w:val="2C127AB1"/>
    <w:rsid w:val="2FB2EB24"/>
    <w:rsid w:val="307FA6CB"/>
    <w:rsid w:val="36AD8491"/>
    <w:rsid w:val="39879D7F"/>
    <w:rsid w:val="3D6848C9"/>
    <w:rsid w:val="3D7D1A0D"/>
    <w:rsid w:val="3E26893C"/>
    <w:rsid w:val="3FFD6AC8"/>
    <w:rsid w:val="431CFCA4"/>
    <w:rsid w:val="458ABCA3"/>
    <w:rsid w:val="4D8AB9D4"/>
    <w:rsid w:val="573A85BF"/>
    <w:rsid w:val="59BAD67A"/>
    <w:rsid w:val="5AD311F1"/>
    <w:rsid w:val="5F9EFB30"/>
    <w:rsid w:val="62374558"/>
    <w:rsid w:val="68E76D26"/>
    <w:rsid w:val="6CD8755B"/>
    <w:rsid w:val="6DFEA648"/>
    <w:rsid w:val="7271AFD0"/>
    <w:rsid w:val="76AC234D"/>
    <w:rsid w:val="7885FA31"/>
    <w:rsid w:val="795C3411"/>
    <w:rsid w:val="7BB2714F"/>
    <w:rsid w:val="7C09824E"/>
    <w:rsid w:val="7D21BDC5"/>
    <w:rsid w:val="7EC1FBA8"/>
    <w:rsid w:val="7FFEFE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55F47B"/>
  <w15:docId w15:val="{BA15E70B-97E3-4E66-9A3E-20ECDF0CD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0" w:lineRule="exact"/>
    </w:pPr>
    <w:rPr>
      <w:sz w:val="22"/>
      <w:lang w:eastAsia="en-US"/>
    </w:rPr>
  </w:style>
  <w:style w:type="paragraph" w:styleId="Heading1">
    <w:name w:val="heading 1"/>
    <w:basedOn w:val="Normal"/>
    <w:next w:val="Normal"/>
    <w:qFormat/>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kakt">
    <w:name w:val="skakt"/>
    <w:basedOn w:val="Normal"/>
    <w:pPr>
      <w:framePr w:w="2268" w:h="7370" w:hSpace="141" w:wrap="around" w:hAnchor="page" w:x="9270" w:anchorLock="1"/>
    </w:pPr>
    <w:rPr>
      <w:rFonts w:ascii="Arial" w:hAnsi="Arial"/>
      <w:sz w:val="15"/>
    </w:rPr>
  </w:style>
  <w:style w:type="paragraph" w:customStyle="1" w:styleId="diverse">
    <w:name w:val="diverse"/>
    <w:basedOn w:val="Normal"/>
    <w:rPr>
      <w:sz w:val="18"/>
    </w:rPr>
  </w:style>
  <w:style w:type="paragraph" w:customStyle="1" w:styleId="SkaktNormal">
    <w:name w:val="SkaktNormal"/>
    <w:basedOn w:val="Normal"/>
    <w:pPr>
      <w:framePr w:hSpace="142" w:wrap="around" w:vAnchor="text" w:hAnchor="page" w:x="9186" w:y="1" w:anchorLock="1"/>
      <w:tabs>
        <w:tab w:val="left" w:pos="335"/>
      </w:tabs>
    </w:pPr>
    <w:rPr>
      <w:rFonts w:ascii="Arial" w:hAnsi="Arial"/>
      <w:noProof/>
      <w:spacing w:val="4"/>
      <w:sz w:val="16"/>
    </w:rPr>
  </w:style>
  <w:style w:type="character" w:styleId="PageNumber">
    <w:name w:val="page number"/>
    <w:basedOn w:val="DefaultParagraphFont"/>
  </w:style>
  <w:style w:type="paragraph" w:customStyle="1" w:styleId="datomv">
    <w:name w:val="datomv"/>
    <w:basedOn w:val="skakt"/>
    <w:pPr>
      <w:framePr w:w="0" w:hRule="auto" w:hSpace="142" w:wrap="around" w:vAnchor="text" w:hAnchor="text" w:x="9073" w:y="1"/>
    </w:pPr>
    <w:rPr>
      <w:rFonts w:ascii="Times New Roman" w:hAnsi="Times New Roman"/>
      <w:sz w:val="22"/>
    </w:rPr>
  </w:style>
  <w:style w:type="paragraph" w:styleId="Header">
    <w:name w:val="header"/>
    <w:basedOn w:val="Normal"/>
    <w:pPr>
      <w:tabs>
        <w:tab w:val="center" w:pos="4819"/>
        <w:tab w:val="right" w:pos="9638"/>
      </w:tabs>
    </w:pPr>
  </w:style>
  <w:style w:type="paragraph" w:customStyle="1" w:styleId="modt">
    <w:name w:val="modt"/>
    <w:basedOn w:val="Normal"/>
  </w:style>
  <w:style w:type="paragraph" w:styleId="Footer">
    <w:name w:val="footer"/>
    <w:basedOn w:val="Normal"/>
    <w:pPr>
      <w:tabs>
        <w:tab w:val="center" w:pos="4819"/>
        <w:tab w:val="right" w:pos="9638"/>
      </w:tabs>
    </w:pPr>
  </w:style>
  <w:style w:type="paragraph" w:customStyle="1" w:styleId="Enhed">
    <w:name w:val="Enhed"/>
    <w:basedOn w:val="Normal"/>
    <w:pPr>
      <w:framePr w:h="454" w:hRule="exact" w:wrap="around" w:vAnchor="page" w:hAnchor="page" w:x="9186" w:y="1702"/>
    </w:pPr>
    <w:rPr>
      <w:rFonts w:ascii="Arial" w:hAnsi="Arial"/>
      <w:b/>
      <w:caps/>
      <w:sz w:val="15"/>
    </w:rPr>
  </w:style>
  <w:style w:type="paragraph" w:styleId="BodyText">
    <w:name w:val="Body Text"/>
    <w:basedOn w:val="Normal"/>
    <w:rPr>
      <w:lang w:val="en-GB"/>
    </w:rPr>
  </w:style>
  <w:style w:type="character" w:styleId="Hyperlink">
    <w:name w:val="Hyperlink"/>
    <w:rPr>
      <w:color w:val="0000FF"/>
      <w:u w:val="single"/>
    </w:rPr>
  </w:style>
  <w:style w:type="paragraph" w:customStyle="1" w:styleId="BlankLinje">
    <w:name w:val="BlankLinje"/>
    <w:basedOn w:val="Normal"/>
    <w:next w:val="BodyText"/>
    <w:rPr>
      <w:sz w:val="28"/>
    </w:rPr>
  </w:style>
  <w:style w:type="paragraph" w:customStyle="1" w:styleId="SkaktBlankLinje">
    <w:name w:val="SkaktBlankLinje"/>
    <w:basedOn w:val="SkaktNormal"/>
    <w:pPr>
      <w:framePr w:wrap="around" w:x="9165" w:y="1537"/>
      <w:spacing w:line="300" w:lineRule="exact"/>
    </w:pPr>
    <w:rPr>
      <w:sz w:val="22"/>
      <w:lang w:val="en-US"/>
    </w:rPr>
  </w:style>
  <w:style w:type="paragraph" w:customStyle="1" w:styleId="skaktfed">
    <w:name w:val="skaktfed"/>
    <w:basedOn w:val="datomv"/>
    <w:pPr>
      <w:framePr w:wrap="around" w:vAnchor="page" w:x="9186" w:y="2241"/>
      <w:spacing w:line="240" w:lineRule="atLeast"/>
    </w:pPr>
    <w:rPr>
      <w:rFonts w:ascii="Arial Black" w:hAnsi="Arial Black"/>
      <w:b/>
      <w:spacing w:val="12"/>
      <w:sz w:val="13"/>
    </w:rPr>
  </w:style>
  <w:style w:type="paragraph" w:customStyle="1" w:styleId="skaktfedlille">
    <w:name w:val="skaktfedlille"/>
    <w:pPr>
      <w:spacing w:line="280" w:lineRule="atLeast"/>
    </w:pPr>
    <w:rPr>
      <w:rFonts w:ascii="Arial Black" w:hAnsi="Arial Black"/>
      <w:b/>
      <w:spacing w:val="4"/>
      <w:sz w:val="12"/>
      <w:lang w:val="en-GB" w:eastAsia="en-US"/>
    </w:rPr>
  </w:style>
  <w:style w:type="paragraph" w:customStyle="1" w:styleId="BrdtekstLille">
    <w:name w:val="BrødtekstLille"/>
    <w:basedOn w:val="Normal"/>
    <w:rPr>
      <w:sz w:val="20"/>
    </w:rPr>
  </w:style>
  <w:style w:type="paragraph" w:customStyle="1" w:styleId="Style1">
    <w:name w:val="Style1"/>
    <w:basedOn w:val="Normal"/>
    <w:next w:val="BodyText"/>
    <w:rPr>
      <w:lang w:val="en-GB"/>
    </w:rPr>
  </w:style>
  <w:style w:type="paragraph" w:customStyle="1" w:styleId="skakt-fed">
    <w:name w:val="skakt-fed"/>
    <w:basedOn w:val="skakt"/>
    <w:rsid w:val="004824DB"/>
    <w:pPr>
      <w:framePr w:w="0" w:h="8505" w:hRule="exact" w:hSpace="142" w:wrap="around" w:vAnchor="text" w:hAnchor="text" w:x="8931" w:y="1"/>
      <w:tabs>
        <w:tab w:val="left" w:pos="720"/>
      </w:tabs>
    </w:pPr>
    <w:rPr>
      <w:rFonts w:ascii="Arial Black" w:hAnsi="Arial Black"/>
      <w:sz w:val="14"/>
    </w:rPr>
  </w:style>
  <w:style w:type="paragraph" w:customStyle="1" w:styleId="Default">
    <w:name w:val="Default"/>
    <w:rsid w:val="00F5359B"/>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F5359B"/>
    <w:rPr>
      <w:color w:val="605E5C"/>
      <w:shd w:val="clear" w:color="auto" w:fill="E1DFDD"/>
    </w:rPr>
  </w:style>
  <w:style w:type="paragraph" w:styleId="CommentText">
    <w:name w:val="annotation text"/>
    <w:basedOn w:val="Normal"/>
    <w:link w:val="CommentTextChar"/>
    <w:uiPriority w:val="99"/>
    <w:semiHidden/>
    <w:unhideWhenUsed/>
    <w:rsid w:val="00524B79"/>
    <w:pPr>
      <w:spacing w:line="240" w:lineRule="auto"/>
    </w:pPr>
    <w:rPr>
      <w:sz w:val="20"/>
    </w:rPr>
  </w:style>
  <w:style w:type="character" w:customStyle="1" w:styleId="CommentTextChar">
    <w:name w:val="Comment Text Char"/>
    <w:basedOn w:val="DefaultParagraphFont"/>
    <w:link w:val="CommentText"/>
    <w:uiPriority w:val="99"/>
    <w:semiHidden/>
    <w:rsid w:val="00524B79"/>
    <w:rPr>
      <w:lang w:eastAsia="en-US"/>
    </w:rPr>
  </w:style>
  <w:style w:type="character" w:styleId="CommentReference">
    <w:name w:val="annotation reference"/>
    <w:basedOn w:val="DefaultParagraphFont"/>
    <w:uiPriority w:val="99"/>
    <w:semiHidden/>
    <w:unhideWhenUsed/>
    <w:rsid w:val="00524B79"/>
    <w:rPr>
      <w:sz w:val="16"/>
      <w:szCs w:val="16"/>
    </w:rPr>
  </w:style>
  <w:style w:type="paragraph" w:styleId="CommentSubject">
    <w:name w:val="annotation subject"/>
    <w:basedOn w:val="CommentText"/>
    <w:next w:val="CommentText"/>
    <w:link w:val="CommentSubjectChar"/>
    <w:uiPriority w:val="99"/>
    <w:semiHidden/>
    <w:unhideWhenUsed/>
    <w:rsid w:val="005020FD"/>
    <w:rPr>
      <w:b/>
      <w:bCs/>
    </w:rPr>
  </w:style>
  <w:style w:type="character" w:customStyle="1" w:styleId="CommentSubjectChar">
    <w:name w:val="Comment Subject Char"/>
    <w:basedOn w:val="CommentTextChar"/>
    <w:link w:val="CommentSubject"/>
    <w:uiPriority w:val="99"/>
    <w:semiHidden/>
    <w:rsid w:val="005020FD"/>
    <w:rPr>
      <w:b/>
      <w:bCs/>
      <w:lang w:eastAsia="en-US"/>
    </w:rPr>
  </w:style>
  <w:style w:type="paragraph" w:styleId="FootnoteText">
    <w:name w:val="footnote text"/>
    <w:basedOn w:val="Normal"/>
    <w:link w:val="FootnoteTextChar"/>
    <w:uiPriority w:val="99"/>
    <w:semiHidden/>
    <w:unhideWhenUsed/>
    <w:rsid w:val="00F104DA"/>
    <w:pPr>
      <w:spacing w:line="240" w:lineRule="auto"/>
    </w:pPr>
    <w:rPr>
      <w:sz w:val="20"/>
    </w:rPr>
  </w:style>
  <w:style w:type="character" w:customStyle="1" w:styleId="FootnoteTextChar">
    <w:name w:val="Footnote Text Char"/>
    <w:basedOn w:val="DefaultParagraphFont"/>
    <w:link w:val="FootnoteText"/>
    <w:uiPriority w:val="99"/>
    <w:semiHidden/>
    <w:rsid w:val="00F104DA"/>
    <w:rPr>
      <w:lang w:eastAsia="en-US"/>
    </w:rPr>
  </w:style>
  <w:style w:type="character" w:styleId="FootnoteReference">
    <w:name w:val="footnote reference"/>
    <w:basedOn w:val="DefaultParagraphFont"/>
    <w:uiPriority w:val="99"/>
    <w:semiHidden/>
    <w:unhideWhenUsed/>
    <w:rsid w:val="00F104DA"/>
    <w:rPr>
      <w:vertAlign w:val="superscript"/>
    </w:rPr>
  </w:style>
  <w:style w:type="character" w:styleId="FollowedHyperlink">
    <w:name w:val="FollowedHyperlink"/>
    <w:basedOn w:val="DefaultParagraphFont"/>
    <w:uiPriority w:val="99"/>
    <w:semiHidden/>
    <w:unhideWhenUsed/>
    <w:rsid w:val="00652A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etsinformation.dk/eli/lta/2022/162" TargetMode="External"/><Relationship Id="rId18" Type="http://schemas.openxmlformats.org/officeDocument/2006/relationships/hyperlink" Target="https://udviklingidanmark.erhvervsstyrelsen.dk/love-og-regler-i-2021-2027"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ec.europa.eu/regional_policy/en/information/legislation/regulations/" TargetMode="External"/><Relationship Id="rId7" Type="http://schemas.openxmlformats.org/officeDocument/2006/relationships/settings" Target="settings.xml"/><Relationship Id="rId12" Type="http://schemas.openxmlformats.org/officeDocument/2006/relationships/hyperlink" Target="https://www.retsinformation.dk/eli/lta/2021/2381" TargetMode="External"/><Relationship Id="rId17" Type="http://schemas.openxmlformats.org/officeDocument/2006/relationships/hyperlink" Target="https://em.dk/ministeriet/arbejdsomraader/erhvervsregulering-og-internationale-forhold/statsstoett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etsinformation.dk/eli/lta/2015/1564" TargetMode="External"/><Relationship Id="rId20" Type="http://schemas.openxmlformats.org/officeDocument/2006/relationships/hyperlink" Target="https://www.retsinformation.dk/eli/lta/2021/75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tsinformation.dk/Forms/R0710.aspx?id=206890" TargetMode="External"/><Relationship Id="rId24" Type="http://schemas.openxmlformats.org/officeDocument/2006/relationships/hyperlink" Target="mailto:de@erst.dk" TargetMode="External"/><Relationship Id="rId5" Type="http://schemas.openxmlformats.org/officeDocument/2006/relationships/numbering" Target="numbering.xml"/><Relationship Id="rId15" Type="http://schemas.openxmlformats.org/officeDocument/2006/relationships/hyperlink" Target="https://udviklingidanmark.erhvervsstyrelsen.dk/sites/default/files/2022-07/Vejledning%20om%20st%C3%B8tteberettigelse%202021-2027.pdf" TargetMode="External"/><Relationship Id="rId23" Type="http://schemas.openxmlformats.org/officeDocument/2006/relationships/hyperlink" Target="https://www.interregeurope.e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retsinformation.dk/eli/lta/2022/1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tsinformation.dk/eli/lta/2022/285" TargetMode="External"/><Relationship Id="rId22" Type="http://schemas.openxmlformats.org/officeDocument/2006/relationships/hyperlink" Target="https://eur-lex.europa.eu/homepage.html"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RST\Skabeloner\Office\ERST%20Silkeborg\ERSTbrevuk%20med%20logo%20-%20Silkeborg.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902" ma:contentTypeDescription="Opret et nyt dokument." ma:contentTypeScope="" ma:versionID="062a17eb79a8bba159452e30a3bb912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5e784a0a5d53d04f17c6c5563e91870f"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element name="TaxCatchAll" ma:index="29" nillable="true" ma:displayName="Taxonomy Catch All Column" ma:hidden="true" ma:list="{2baa2b68-f128-4e7a-99a5-6ad3f5f37d9f}" ma:internalName="TaxCatchAll" ma:showField="CatchAllData" ma:web="8f557624-d6a7-40e5-a06f-ebe44359847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Billedmærker" ma:readOnly="false" ma:fieldId="{5cf76f15-5ced-4ddc-b409-7134ff3c332f}" ma:taxonomyMulti="true" ma:sspId="46f9bfe2-f411-48ca-b094-cf8508787f8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EAEXP2DD475P-1149199250-6300738</_dlc_DocId>
    <TaxCatchAll xmlns="8f557624-d6a7-40e5-a06f-ebe44359847b" xsi:nil="true"/>
    <lcf76f155ced4ddcb4097134ff3c332f xmlns="ba3c0d19-9a85-4c97-b951-b8742efd782e">
      <Terms xmlns="http://schemas.microsoft.com/office/infopath/2007/PartnerControls"/>
    </lcf76f155ced4ddcb4097134ff3c332f>
    <_dlc_DocIdUrl xmlns="8f557624-d6a7-40e5-a06f-ebe44359847b">
      <Url>https://erstdk.sharepoint.com/teams/share/_layouts/15/DocIdRedir.aspx?ID=EAEXP2DD475P-1149199250-6300738</Url>
      <Description>EAEXP2DD475P-1149199250-6300738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8ADAE-F5E4-4472-A8DE-6509AB1117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C49CC7-7E27-44B1-BC07-D302FC4F31F3}">
  <ds:schemaRefs>
    <ds:schemaRef ds:uri="http://schemas.microsoft.com/office/2006/metadata/properties"/>
    <ds:schemaRef ds:uri="http://schemas.microsoft.com/office/infopath/2007/PartnerControls"/>
    <ds:schemaRef ds:uri="8f557624-d6a7-40e5-a06f-ebe44359847b"/>
    <ds:schemaRef ds:uri="ba3c0d19-9a85-4c97-b951-b8742efd782e"/>
  </ds:schemaRefs>
</ds:datastoreItem>
</file>

<file path=customXml/itemProps3.xml><?xml version="1.0" encoding="utf-8"?>
<ds:datastoreItem xmlns:ds="http://schemas.openxmlformats.org/officeDocument/2006/customXml" ds:itemID="{88389816-7188-4BBC-BC29-0BD69E54146A}">
  <ds:schemaRefs>
    <ds:schemaRef ds:uri="http://schemas.microsoft.com/sharepoint/events"/>
  </ds:schemaRefs>
</ds:datastoreItem>
</file>

<file path=customXml/itemProps4.xml><?xml version="1.0" encoding="utf-8"?>
<ds:datastoreItem xmlns:ds="http://schemas.openxmlformats.org/officeDocument/2006/customXml" ds:itemID="{36F3A082-9D73-4B2C-97EF-A772975933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ERSTbrevuk med logo - Silkeborg.dotm</Template>
  <TotalTime>0</TotalTime>
  <Pages>3</Pages>
  <Words>1220</Words>
  <Characters>6954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Erhvervsstyrelsen</Company>
  <LinksUpToDate>false</LinksUpToDate>
  <CharactersWithSpaces>8158</CharactersWithSpaces>
  <SharedDoc>false</SharedDoc>
  <HLinks>
    <vt:vector size="78" baseType="variant">
      <vt:variant>
        <vt:i4>2359319</vt:i4>
      </vt:variant>
      <vt:variant>
        <vt:i4>36</vt:i4>
      </vt:variant>
      <vt:variant>
        <vt:i4>0</vt:i4>
      </vt:variant>
      <vt:variant>
        <vt:i4>5</vt:i4>
      </vt:variant>
      <vt:variant>
        <vt:lpwstr>mailto:de@erst.dk</vt:lpwstr>
      </vt:variant>
      <vt:variant>
        <vt:lpwstr/>
      </vt:variant>
      <vt:variant>
        <vt:i4>3670071</vt:i4>
      </vt:variant>
      <vt:variant>
        <vt:i4>33</vt:i4>
      </vt:variant>
      <vt:variant>
        <vt:i4>0</vt:i4>
      </vt:variant>
      <vt:variant>
        <vt:i4>5</vt:i4>
      </vt:variant>
      <vt:variant>
        <vt:lpwstr>https://eur-lex.europa.eu/homepage.html</vt:lpwstr>
      </vt:variant>
      <vt:variant>
        <vt:lpwstr/>
      </vt:variant>
      <vt:variant>
        <vt:i4>7667805</vt:i4>
      </vt:variant>
      <vt:variant>
        <vt:i4>30</vt:i4>
      </vt:variant>
      <vt:variant>
        <vt:i4>0</vt:i4>
      </vt:variant>
      <vt:variant>
        <vt:i4>5</vt:i4>
      </vt:variant>
      <vt:variant>
        <vt:lpwstr>http://ec.europa.eu/regional_policy/en/information/legislation/regulations/</vt:lpwstr>
      </vt:variant>
      <vt:variant>
        <vt:lpwstr/>
      </vt:variant>
      <vt:variant>
        <vt:i4>7798840</vt:i4>
      </vt:variant>
      <vt:variant>
        <vt:i4>27</vt:i4>
      </vt:variant>
      <vt:variant>
        <vt:i4>0</vt:i4>
      </vt:variant>
      <vt:variant>
        <vt:i4>5</vt:i4>
      </vt:variant>
      <vt:variant>
        <vt:lpwstr>https://www.retsinformation.dk/eli/lta/2021/751</vt:lpwstr>
      </vt:variant>
      <vt:variant>
        <vt:lpwstr/>
      </vt:variant>
      <vt:variant>
        <vt:i4>7471165</vt:i4>
      </vt:variant>
      <vt:variant>
        <vt:i4>24</vt:i4>
      </vt:variant>
      <vt:variant>
        <vt:i4>0</vt:i4>
      </vt:variant>
      <vt:variant>
        <vt:i4>5</vt:i4>
      </vt:variant>
      <vt:variant>
        <vt:lpwstr>https://www.retsinformation.dk/eli/lta/2022/100</vt:lpwstr>
      </vt:variant>
      <vt:variant>
        <vt:lpwstr/>
      </vt:variant>
      <vt:variant>
        <vt:i4>4784198</vt:i4>
      </vt:variant>
      <vt:variant>
        <vt:i4>21</vt:i4>
      </vt:variant>
      <vt:variant>
        <vt:i4>0</vt:i4>
      </vt:variant>
      <vt:variant>
        <vt:i4>5</vt:i4>
      </vt:variant>
      <vt:variant>
        <vt:lpwstr>https://udviklingidanmark.erhvervsstyrelsen.dk/love-og-regler-i-2021-2027</vt:lpwstr>
      </vt:variant>
      <vt:variant>
        <vt:lpwstr/>
      </vt:variant>
      <vt:variant>
        <vt:i4>4980824</vt:i4>
      </vt:variant>
      <vt:variant>
        <vt:i4>18</vt:i4>
      </vt:variant>
      <vt:variant>
        <vt:i4>0</vt:i4>
      </vt:variant>
      <vt:variant>
        <vt:i4>5</vt:i4>
      </vt:variant>
      <vt:variant>
        <vt:lpwstr>https://em.dk/ministeriet/arbejdsomraader/erhvervsregulering-og-internationale-forhold/statsstoette/</vt:lpwstr>
      </vt:variant>
      <vt:variant>
        <vt:lpwstr/>
      </vt:variant>
      <vt:variant>
        <vt:i4>4194316</vt:i4>
      </vt:variant>
      <vt:variant>
        <vt:i4>15</vt:i4>
      </vt:variant>
      <vt:variant>
        <vt:i4>0</vt:i4>
      </vt:variant>
      <vt:variant>
        <vt:i4>5</vt:i4>
      </vt:variant>
      <vt:variant>
        <vt:lpwstr>https://www.retsinformation.dk/eli/lta/2015/1564</vt:lpwstr>
      </vt:variant>
      <vt:variant>
        <vt:lpwstr/>
      </vt:variant>
      <vt:variant>
        <vt:i4>7864441</vt:i4>
      </vt:variant>
      <vt:variant>
        <vt:i4>12</vt:i4>
      </vt:variant>
      <vt:variant>
        <vt:i4>0</vt:i4>
      </vt:variant>
      <vt:variant>
        <vt:i4>5</vt:i4>
      </vt:variant>
      <vt:variant>
        <vt:lpwstr>https://udviklingidanmark.erhvervsstyrelsen.dk/sites/default/files/2022-07/Vejledning om st%C3%B8tteberettigelse 2021-2027.pdf</vt:lpwstr>
      </vt:variant>
      <vt:variant>
        <vt:lpwstr/>
      </vt:variant>
      <vt:variant>
        <vt:i4>7995454</vt:i4>
      </vt:variant>
      <vt:variant>
        <vt:i4>9</vt:i4>
      </vt:variant>
      <vt:variant>
        <vt:i4>0</vt:i4>
      </vt:variant>
      <vt:variant>
        <vt:i4>5</vt:i4>
      </vt:variant>
      <vt:variant>
        <vt:lpwstr>https://www.retsinformation.dk/eli/lta/2022/285</vt:lpwstr>
      </vt:variant>
      <vt:variant>
        <vt:lpwstr/>
      </vt:variant>
      <vt:variant>
        <vt:i4>7602237</vt:i4>
      </vt:variant>
      <vt:variant>
        <vt:i4>6</vt:i4>
      </vt:variant>
      <vt:variant>
        <vt:i4>0</vt:i4>
      </vt:variant>
      <vt:variant>
        <vt:i4>5</vt:i4>
      </vt:variant>
      <vt:variant>
        <vt:lpwstr>https://www.retsinformation.dk/eli/lta/2022/162</vt:lpwstr>
      </vt:variant>
      <vt:variant>
        <vt:lpwstr/>
      </vt:variant>
      <vt:variant>
        <vt:i4>4194309</vt:i4>
      </vt:variant>
      <vt:variant>
        <vt:i4>3</vt:i4>
      </vt:variant>
      <vt:variant>
        <vt:i4>0</vt:i4>
      </vt:variant>
      <vt:variant>
        <vt:i4>5</vt:i4>
      </vt:variant>
      <vt:variant>
        <vt:lpwstr>https://www.retsinformation.dk/eli/lta/2021/2381</vt:lpwstr>
      </vt:variant>
      <vt:variant>
        <vt:lpwstr/>
      </vt:variant>
      <vt:variant>
        <vt:i4>589891</vt:i4>
      </vt:variant>
      <vt:variant>
        <vt:i4>0</vt:i4>
      </vt:variant>
      <vt:variant>
        <vt:i4>0</vt:i4>
      </vt:variant>
      <vt:variant>
        <vt:i4>5</vt:i4>
      </vt:variant>
      <vt:variant>
        <vt:lpwstr>https://www.retsinformation.dk/Forms/R0710.aspx?id=206890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Elvira Jensen</dc:creator>
  <cp:keywords/>
  <cp:lastModifiedBy>Julie PATENAUDE</cp:lastModifiedBy>
  <cp:revision>2</cp:revision>
  <cp:lastPrinted>2014-07-23T18:29:00Z</cp:lastPrinted>
  <dcterms:created xsi:type="dcterms:W3CDTF">2023-03-10T16:52:00Z</dcterms:created>
  <dcterms:modified xsi:type="dcterms:W3CDTF">2023-03-10T16:52:00Z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dlc_policyId">
    <vt:lpwstr>/teams/share/data</vt:lpwstr>
  </property>
  <property fmtid="{D5CDD505-2E9C-101B-9397-08002B2CF9AE}" pid="4" name="ContentTypeId">
    <vt:lpwstr>0x01010028823DAD65BFDC47A3186F100C863B32</vt:lpwstr>
  </property>
  <property fmtid="{D5CDD505-2E9C-101B-9397-08002B2CF9AE}" pid="5" name="ItemRetentionFormula">
    <vt:lpwstr/>
  </property>
</Properties>
</file>